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D09FC27" w:rsidR="00093CA9" w:rsidRDefault="0014321E" w:rsidP="00093CA9">
            <w:r w:rsidRPr="0014321E">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AB0A066" w:rsidR="00093CA9" w:rsidRDefault="00A52698" w:rsidP="00093CA9">
            <w:r w:rsidRPr="00A52698">
              <w:t>Egyptian Corporate Governance Code (Issued by the Financial Supervisory Authority (EFSA), Board of Directors Resolution No. 84 of 2016)</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D86BBC9" w:rsidR="00093CA9" w:rsidRDefault="004240D0" w:rsidP="00093CA9">
            <w:hyperlink r:id="rId17" w:history="1">
              <w:r w:rsidRPr="00A74240">
                <w:rPr>
                  <w:rStyle w:val="Hyperlink"/>
                </w:rPr>
                <w:t>https://web.archive.org/web/20250613184537/https://eiod.org/wp-content/uploads/2023/05/The-Egyptian-CG-Code-Third-Release.pdf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FC3A3A0" w:rsidR="00093CA9" w:rsidRDefault="00A52698"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F68F65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E2FA3EE"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8BFFAF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171A244" w:rsidR="00093CA9" w:rsidRDefault="004240D0" w:rsidP="00093CA9">
            <w:r>
              <w:t>The corporate governance code guidelines serve as a guide for best practice in corporate governance and prudent management. The guidelines were updated in 2016 to allow for general application across various entities – public and private. It is relevant to the climate related disclosure domain as one of the disclosure tools recommended within such policy tool is that a sustainability report be adopted by companies and such report should highlight such company’s environmental impact.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F6AFB2D" w:rsidR="00093CA9" w:rsidRDefault="004240D0"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BB68D49" w:rsidR="00093CA9" w:rsidRDefault="004240D0" w:rsidP="00093CA9">
            <w:r>
              <w:t>The policy tool is not legislation, rather it is guidelines of best practice which companies can comply with or choose to provide an objective and justifiable explanation for their non-compliance (see s.1.6 – “Comply or Explain” principle).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2887578" w:rsidR="00093CA9" w:rsidRPr="00173D7C" w:rsidRDefault="0037160D"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87A1AC2" w:rsidR="00093CA9" w:rsidRDefault="0037160D" w:rsidP="00093CA9">
            <w:r>
              <w:t>Government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54ED6B2" w:rsidR="00093CA9" w:rsidRPr="006B7B0D" w:rsidRDefault="0037160D" w:rsidP="00093CA9">
            <w:r>
              <w:t>Although not enforced in a legal sense, the Financial Regulatory Authority is the primary supervisory body for corporate governance and would oversee this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C8F3DD6" w:rsidR="00093CA9" w:rsidRPr="006B7B0D" w:rsidRDefault="0037160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E44060C" w:rsidR="00093CA9" w:rsidRDefault="0037160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FCD1E12" w14:textId="0B661431" w:rsidR="00093CA9" w:rsidRDefault="0037160D" w:rsidP="0037160D">
            <w:pPr>
              <w:pStyle w:val="ListParagraph"/>
              <w:keepNext/>
              <w:numPr>
                <w:ilvl w:val="0"/>
                <w:numId w:val="49"/>
              </w:numPr>
              <w:rPr>
                <w:color w:val="000000" w:themeColor="text1"/>
              </w:rPr>
            </w:pPr>
            <w:r>
              <w:rPr>
                <w:color w:val="000000" w:themeColor="text1"/>
              </w:rPr>
              <w:t xml:space="preserve">Comply or </w:t>
            </w:r>
            <w:proofErr w:type="gramStart"/>
            <w:r>
              <w:rPr>
                <w:color w:val="000000" w:themeColor="text1"/>
              </w:rPr>
              <w:t>explain:</w:t>
            </w:r>
            <w:proofErr w:type="gramEnd"/>
            <w:r>
              <w:rPr>
                <w:color w:val="000000" w:themeColor="text1"/>
              </w:rPr>
              <w:t xml:space="preserve"> companies are encouraged to adopt the </w:t>
            </w:r>
            <w:proofErr w:type="gramStart"/>
            <w:r>
              <w:rPr>
                <w:color w:val="000000" w:themeColor="text1"/>
              </w:rPr>
              <w:t>guidelines</w:t>
            </w:r>
            <w:proofErr w:type="gramEnd"/>
            <w:r>
              <w:rPr>
                <w:color w:val="000000" w:themeColor="text1"/>
              </w:rPr>
              <w:t xml:space="preserve"> or they must publicly explain why they have not (section 1.6</w:t>
            </w:r>
            <w:proofErr w:type="gramStart"/>
            <w:r>
              <w:rPr>
                <w:color w:val="000000" w:themeColor="text1"/>
              </w:rPr>
              <w:t>);</w:t>
            </w:r>
            <w:proofErr w:type="gramEnd"/>
          </w:p>
          <w:p w14:paraId="36EBA367" w14:textId="23A7254E" w:rsidR="0037160D" w:rsidRDefault="0037160D" w:rsidP="0037160D">
            <w:pPr>
              <w:pStyle w:val="ListParagraph"/>
              <w:keepNext/>
              <w:numPr>
                <w:ilvl w:val="0"/>
                <w:numId w:val="49"/>
              </w:numPr>
              <w:rPr>
                <w:color w:val="000000" w:themeColor="text1"/>
              </w:rPr>
            </w:pPr>
            <w:r>
              <w:rPr>
                <w:color w:val="000000" w:themeColor="text1"/>
              </w:rPr>
              <w:t xml:space="preserve">Certain disclosure and transparency tools: Chapter 3 of the guidelines set out </w:t>
            </w:r>
            <w:proofErr w:type="gramStart"/>
            <w:r>
              <w:rPr>
                <w:color w:val="000000" w:themeColor="text1"/>
              </w:rPr>
              <w:t>a number of</w:t>
            </w:r>
            <w:proofErr w:type="gramEnd"/>
            <w:r>
              <w:rPr>
                <w:color w:val="000000" w:themeColor="text1"/>
              </w:rPr>
              <w:t xml:space="preserve"> disclosure tools, including the use of annual reports, material financial and non-financial disclosures, and the provision of a sustainability report, which is relevant to the climate disclosure domain.</w:t>
            </w:r>
          </w:p>
          <w:p w14:paraId="50605A29" w14:textId="77777777" w:rsidR="0037160D" w:rsidRDefault="0037160D" w:rsidP="0037160D">
            <w:pPr>
              <w:pStyle w:val="ListParagraph"/>
              <w:keepNext/>
              <w:numPr>
                <w:ilvl w:val="0"/>
                <w:numId w:val="49"/>
              </w:numPr>
              <w:rPr>
                <w:color w:val="000000" w:themeColor="text1"/>
              </w:rPr>
            </w:pPr>
            <w:r>
              <w:rPr>
                <w:color w:val="000000" w:themeColor="text1"/>
              </w:rPr>
              <w:t>General role of FRA: whilst the guidelines are not legally binding, the FRA monitors listed companies for alignment and may refer to the guidelines</w:t>
            </w:r>
          </w:p>
          <w:p w14:paraId="2C2128DB" w14:textId="0C0A4F72" w:rsidR="00EF7EF4" w:rsidRPr="0037160D" w:rsidRDefault="00EF7EF4" w:rsidP="0037160D">
            <w:pPr>
              <w:pStyle w:val="ListParagraph"/>
              <w:keepNext/>
              <w:numPr>
                <w:ilvl w:val="0"/>
                <w:numId w:val="49"/>
              </w:numPr>
              <w:rPr>
                <w:color w:val="000000" w:themeColor="text1"/>
              </w:rPr>
            </w:pPr>
            <w:r>
              <w:rPr>
                <w:color w:val="000000" w:themeColor="text1"/>
              </w:rPr>
              <w:t>Establishment of committees: the guidelines recommend having audit committees (section 2.3.1), risk management committees (section 2.3.4), environment protection committee (section 2.3.6).</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46"/>
        <w:gridCol w:w="4028"/>
        <w:gridCol w:w="276"/>
        <w:gridCol w:w="156"/>
        <w:gridCol w:w="506"/>
        <w:gridCol w:w="972"/>
        <w:gridCol w:w="360"/>
        <w:gridCol w:w="1693"/>
        <w:gridCol w:w="1724"/>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2F4FA977" w:rsidR="00CF5268" w:rsidRDefault="00EF7EF4"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1E25011D" w:rsidR="00CF5268" w:rsidRDefault="00EF7EF4"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0CA888EF" w:rsidR="00CF5268" w:rsidRDefault="00EF7EF4"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3899F2AB" w:rsidR="00CF5268" w:rsidRDefault="00EF7EF4"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04FF6CA8" w:rsidR="00CF5268" w:rsidRDefault="00EF7EF4"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5F81709" w:rsidR="466E435B" w:rsidRDefault="00EF7EF4"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998A257" w:rsidR="00CF5268" w:rsidRDefault="00EF7EF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F98B6ED" w:rsidR="466E435B" w:rsidRDefault="00EF7EF4" w:rsidP="00DD3144">
            <w:r>
              <w:t>X</w:t>
            </w:r>
          </w:p>
        </w:tc>
      </w:tr>
      <w:tr w:rsidR="00EF7EF4" w14:paraId="50C3E90A" w14:textId="77777777" w:rsidTr="009E0568">
        <w:trPr>
          <w:trHeight w:val="300"/>
        </w:trPr>
        <w:tc>
          <w:tcPr>
            <w:tcW w:w="1066" w:type="dxa"/>
            <w:vAlign w:val="center"/>
          </w:tcPr>
          <w:p w14:paraId="75A6736C" w14:textId="1348F23A" w:rsidR="00EF7EF4" w:rsidRDefault="00EF7EF4" w:rsidP="00EF7EF4">
            <w:r>
              <w:t>1.1.9</w:t>
            </w:r>
          </w:p>
        </w:tc>
        <w:tc>
          <w:tcPr>
            <w:tcW w:w="5034" w:type="dxa"/>
            <w:gridSpan w:val="3"/>
            <w:shd w:val="clear" w:color="auto" w:fill="DEEAF6" w:themeFill="accent5" w:themeFillTint="33"/>
            <w:vAlign w:val="center"/>
          </w:tcPr>
          <w:p w14:paraId="53295936" w14:textId="0576D940" w:rsidR="00EF7EF4" w:rsidRDefault="00EF7EF4" w:rsidP="00EF7EF4">
            <w:r>
              <w:t>Government agencies and/or departments (regional - e.g. state, province, region, metropolitan region)</w:t>
            </w:r>
          </w:p>
        </w:tc>
        <w:tc>
          <w:tcPr>
            <w:tcW w:w="1446" w:type="dxa"/>
            <w:gridSpan w:val="3"/>
            <w:vAlign w:val="center"/>
          </w:tcPr>
          <w:p w14:paraId="7074A6C3" w14:textId="12374F99" w:rsidR="00EF7EF4" w:rsidRDefault="00EF7EF4" w:rsidP="00EF7EF4"/>
        </w:tc>
        <w:tc>
          <w:tcPr>
            <w:tcW w:w="1447" w:type="dxa"/>
            <w:vAlign w:val="center"/>
          </w:tcPr>
          <w:p w14:paraId="5AFB0A97" w14:textId="7E66824F" w:rsidR="00EF7EF4" w:rsidRDefault="00EF7EF4" w:rsidP="00EF7EF4"/>
        </w:tc>
        <w:tc>
          <w:tcPr>
            <w:tcW w:w="1447" w:type="dxa"/>
          </w:tcPr>
          <w:p w14:paraId="7A06765B" w14:textId="2082B03F" w:rsidR="00EF7EF4" w:rsidRDefault="00EF7EF4" w:rsidP="00EF7EF4">
            <w:r w:rsidRPr="005573EB">
              <w:t>X</w:t>
            </w:r>
          </w:p>
        </w:tc>
      </w:tr>
      <w:tr w:rsidR="00EF7EF4" w14:paraId="55860032" w14:textId="77777777" w:rsidTr="009E0568">
        <w:trPr>
          <w:trHeight w:val="300"/>
        </w:trPr>
        <w:tc>
          <w:tcPr>
            <w:tcW w:w="1066" w:type="dxa"/>
            <w:vAlign w:val="center"/>
          </w:tcPr>
          <w:p w14:paraId="143FD0E3" w14:textId="0E11D2F7" w:rsidR="00EF7EF4" w:rsidRDefault="00EF7EF4" w:rsidP="00EF7EF4">
            <w:r>
              <w:t>1.1.10</w:t>
            </w:r>
          </w:p>
        </w:tc>
        <w:tc>
          <w:tcPr>
            <w:tcW w:w="5034" w:type="dxa"/>
            <w:gridSpan w:val="3"/>
            <w:shd w:val="clear" w:color="auto" w:fill="DEEAF6" w:themeFill="accent5" w:themeFillTint="33"/>
            <w:vAlign w:val="center"/>
          </w:tcPr>
          <w:p w14:paraId="667A083C" w14:textId="704AB3C7" w:rsidR="00EF7EF4" w:rsidRDefault="00EF7EF4" w:rsidP="00EF7EF4">
            <w:r>
              <w:t>Government agencies and/or departments (local-e.g. county, district, municipality, city)</w:t>
            </w:r>
          </w:p>
        </w:tc>
        <w:tc>
          <w:tcPr>
            <w:tcW w:w="1446" w:type="dxa"/>
            <w:gridSpan w:val="3"/>
            <w:vAlign w:val="center"/>
          </w:tcPr>
          <w:p w14:paraId="50E60F18" w14:textId="24718BCF" w:rsidR="00EF7EF4" w:rsidRDefault="00EF7EF4" w:rsidP="00EF7EF4"/>
        </w:tc>
        <w:tc>
          <w:tcPr>
            <w:tcW w:w="1447" w:type="dxa"/>
            <w:vAlign w:val="center"/>
          </w:tcPr>
          <w:p w14:paraId="1992AAA4" w14:textId="13FAFBCD" w:rsidR="00EF7EF4" w:rsidRDefault="00EF7EF4" w:rsidP="00EF7EF4"/>
        </w:tc>
        <w:tc>
          <w:tcPr>
            <w:tcW w:w="1447" w:type="dxa"/>
          </w:tcPr>
          <w:p w14:paraId="5E930EB6" w14:textId="50B02EF6" w:rsidR="00EF7EF4" w:rsidRDefault="00EF7EF4" w:rsidP="00EF7EF4">
            <w:r w:rsidRPr="005573EB">
              <w:t>X</w:t>
            </w:r>
          </w:p>
        </w:tc>
      </w:tr>
      <w:tr w:rsidR="00EF7EF4" w14:paraId="3D6D41E5" w14:textId="77777777" w:rsidTr="009E0568">
        <w:trPr>
          <w:trHeight w:val="300"/>
        </w:trPr>
        <w:tc>
          <w:tcPr>
            <w:tcW w:w="1066" w:type="dxa"/>
            <w:vAlign w:val="center"/>
          </w:tcPr>
          <w:p w14:paraId="740AD3C0" w14:textId="22F4B849" w:rsidR="00EF7EF4" w:rsidRDefault="00EF7EF4" w:rsidP="00EF7EF4">
            <w:r>
              <w:t>1.1.11</w:t>
            </w:r>
          </w:p>
        </w:tc>
        <w:tc>
          <w:tcPr>
            <w:tcW w:w="5034" w:type="dxa"/>
            <w:gridSpan w:val="3"/>
            <w:shd w:val="clear" w:color="auto" w:fill="DEEAF6" w:themeFill="accent5" w:themeFillTint="33"/>
            <w:vAlign w:val="center"/>
          </w:tcPr>
          <w:p w14:paraId="55CD99FF" w14:textId="701EEA51" w:rsidR="00EF7EF4" w:rsidRDefault="00EF7EF4" w:rsidP="00EF7EF4">
            <w:r>
              <w:t>Government agencies and/or departments (unspecified)</w:t>
            </w:r>
          </w:p>
        </w:tc>
        <w:tc>
          <w:tcPr>
            <w:tcW w:w="1446" w:type="dxa"/>
            <w:gridSpan w:val="3"/>
            <w:vAlign w:val="center"/>
          </w:tcPr>
          <w:p w14:paraId="2307508C" w14:textId="2BAE7744" w:rsidR="00EF7EF4" w:rsidRDefault="00EF7EF4" w:rsidP="00EF7EF4"/>
        </w:tc>
        <w:tc>
          <w:tcPr>
            <w:tcW w:w="1447" w:type="dxa"/>
            <w:vAlign w:val="center"/>
          </w:tcPr>
          <w:p w14:paraId="0D092DE1" w14:textId="3A5B0CC3" w:rsidR="00EF7EF4" w:rsidRDefault="00EF7EF4" w:rsidP="00EF7EF4"/>
        </w:tc>
        <w:tc>
          <w:tcPr>
            <w:tcW w:w="1447" w:type="dxa"/>
          </w:tcPr>
          <w:p w14:paraId="1A2F5FE9" w14:textId="1206778D" w:rsidR="00EF7EF4" w:rsidRDefault="00EF7EF4" w:rsidP="00EF7EF4">
            <w:r w:rsidRPr="005573EB">
              <w:t>X</w:t>
            </w:r>
          </w:p>
        </w:tc>
      </w:tr>
      <w:tr w:rsidR="00EF7EF4" w14:paraId="36EB0BCC" w14:textId="77777777" w:rsidTr="009E0568">
        <w:trPr>
          <w:trHeight w:val="24"/>
        </w:trPr>
        <w:tc>
          <w:tcPr>
            <w:tcW w:w="1066" w:type="dxa"/>
            <w:vAlign w:val="center"/>
          </w:tcPr>
          <w:p w14:paraId="7F7ECFBB" w14:textId="2DD83D82" w:rsidR="00EF7EF4" w:rsidRDefault="00EF7EF4" w:rsidP="00EF7EF4">
            <w:r>
              <w:t>1.1.12</w:t>
            </w:r>
          </w:p>
        </w:tc>
        <w:tc>
          <w:tcPr>
            <w:tcW w:w="5034" w:type="dxa"/>
            <w:gridSpan w:val="3"/>
            <w:shd w:val="clear" w:color="auto" w:fill="DEEAF6" w:themeFill="accent5" w:themeFillTint="33"/>
            <w:vAlign w:val="center"/>
          </w:tcPr>
          <w:p w14:paraId="3FB84CA8" w14:textId="2D2738EF" w:rsidR="00EF7EF4" w:rsidRDefault="00EF7EF4" w:rsidP="00EF7EF4">
            <w:r>
              <w:t>Sectoral actors (e.g. healthcare, utilities, education)</w:t>
            </w:r>
          </w:p>
        </w:tc>
        <w:tc>
          <w:tcPr>
            <w:tcW w:w="1446" w:type="dxa"/>
            <w:gridSpan w:val="3"/>
            <w:vAlign w:val="center"/>
          </w:tcPr>
          <w:p w14:paraId="1C618D5E" w14:textId="77777777" w:rsidR="00EF7EF4" w:rsidRDefault="00EF7EF4" w:rsidP="00EF7EF4"/>
        </w:tc>
        <w:tc>
          <w:tcPr>
            <w:tcW w:w="1447" w:type="dxa"/>
            <w:vAlign w:val="center"/>
          </w:tcPr>
          <w:p w14:paraId="65791BCC" w14:textId="77777777" w:rsidR="00EF7EF4" w:rsidRDefault="00EF7EF4" w:rsidP="00EF7EF4"/>
        </w:tc>
        <w:tc>
          <w:tcPr>
            <w:tcW w:w="1447" w:type="dxa"/>
          </w:tcPr>
          <w:p w14:paraId="3EF422E2" w14:textId="1D250A15" w:rsidR="00EF7EF4" w:rsidRDefault="00EF7EF4" w:rsidP="00EF7EF4">
            <w:r w:rsidRPr="005573EB">
              <w:t>X</w:t>
            </w:r>
          </w:p>
        </w:tc>
      </w:tr>
      <w:tr w:rsidR="00EF7EF4" w14:paraId="15FA2CC2" w14:textId="77777777" w:rsidTr="009E0568">
        <w:trPr>
          <w:trHeight w:val="24"/>
        </w:trPr>
        <w:tc>
          <w:tcPr>
            <w:tcW w:w="1066" w:type="dxa"/>
            <w:vAlign w:val="center"/>
          </w:tcPr>
          <w:p w14:paraId="723066D3" w14:textId="1261F263" w:rsidR="00EF7EF4" w:rsidRDefault="00EF7EF4" w:rsidP="00EF7EF4">
            <w:r>
              <w:t>1.1.13</w:t>
            </w:r>
          </w:p>
        </w:tc>
        <w:tc>
          <w:tcPr>
            <w:tcW w:w="5034" w:type="dxa"/>
            <w:gridSpan w:val="3"/>
            <w:shd w:val="clear" w:color="auto" w:fill="DEEAF6" w:themeFill="accent5" w:themeFillTint="33"/>
            <w:vAlign w:val="center"/>
          </w:tcPr>
          <w:p w14:paraId="7BBD04C0" w14:textId="2C8527EA" w:rsidR="00EF7EF4" w:rsidRDefault="00EF7EF4" w:rsidP="00EF7EF4">
            <w:r>
              <w:t>Other</w:t>
            </w:r>
          </w:p>
        </w:tc>
        <w:tc>
          <w:tcPr>
            <w:tcW w:w="1446" w:type="dxa"/>
            <w:gridSpan w:val="3"/>
            <w:vAlign w:val="center"/>
          </w:tcPr>
          <w:p w14:paraId="1D6C2739" w14:textId="77777777" w:rsidR="00EF7EF4" w:rsidRDefault="00EF7EF4" w:rsidP="00EF7EF4"/>
        </w:tc>
        <w:tc>
          <w:tcPr>
            <w:tcW w:w="1447" w:type="dxa"/>
            <w:vAlign w:val="center"/>
          </w:tcPr>
          <w:p w14:paraId="592977B8" w14:textId="77777777" w:rsidR="00EF7EF4" w:rsidRDefault="00EF7EF4" w:rsidP="00EF7EF4"/>
        </w:tc>
        <w:tc>
          <w:tcPr>
            <w:tcW w:w="1447" w:type="dxa"/>
          </w:tcPr>
          <w:p w14:paraId="45E5A510" w14:textId="31008166" w:rsidR="00EF7EF4" w:rsidRDefault="00EF7EF4" w:rsidP="00EF7EF4">
            <w:r w:rsidRPr="005573EB">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EF7EF4" w14:paraId="30D2FF98" w14:textId="77777777" w:rsidTr="0041104F">
        <w:trPr>
          <w:trHeight w:val="35"/>
        </w:trPr>
        <w:tc>
          <w:tcPr>
            <w:tcW w:w="1066" w:type="dxa"/>
            <w:vAlign w:val="center"/>
          </w:tcPr>
          <w:p w14:paraId="4D7D7CC2" w14:textId="2AE6BBFA" w:rsidR="00EF7EF4" w:rsidRDefault="00EF7EF4" w:rsidP="00EF7EF4">
            <w:r>
              <w:t>1.2.1</w:t>
            </w:r>
          </w:p>
        </w:tc>
        <w:tc>
          <w:tcPr>
            <w:tcW w:w="5034" w:type="dxa"/>
            <w:gridSpan w:val="3"/>
            <w:shd w:val="clear" w:color="auto" w:fill="DEEAF6" w:themeFill="accent5" w:themeFillTint="33"/>
            <w:vAlign w:val="center"/>
          </w:tcPr>
          <w:p w14:paraId="16AB6736" w14:textId="1D5536B7" w:rsidR="00EF7EF4" w:rsidRDefault="00EF7EF4" w:rsidP="00EF7EF4">
            <w:r>
              <w:t>Banks</w:t>
            </w:r>
          </w:p>
        </w:tc>
        <w:tc>
          <w:tcPr>
            <w:tcW w:w="1446" w:type="dxa"/>
            <w:gridSpan w:val="3"/>
            <w:vAlign w:val="center"/>
          </w:tcPr>
          <w:p w14:paraId="48A33F02" w14:textId="77777777" w:rsidR="00EF7EF4" w:rsidRDefault="00EF7EF4" w:rsidP="00EF7EF4"/>
        </w:tc>
        <w:tc>
          <w:tcPr>
            <w:tcW w:w="1447" w:type="dxa"/>
          </w:tcPr>
          <w:p w14:paraId="39B51900" w14:textId="519F4187" w:rsidR="00EF7EF4" w:rsidRDefault="00EF7EF4" w:rsidP="00EF7EF4">
            <w:r w:rsidRPr="00E94C63">
              <w:t>X</w:t>
            </w:r>
          </w:p>
        </w:tc>
        <w:tc>
          <w:tcPr>
            <w:tcW w:w="1447" w:type="dxa"/>
            <w:vAlign w:val="center"/>
          </w:tcPr>
          <w:p w14:paraId="6227ED99" w14:textId="39C005CD" w:rsidR="00EF7EF4" w:rsidRDefault="00EF7EF4" w:rsidP="00EF7EF4"/>
        </w:tc>
      </w:tr>
      <w:tr w:rsidR="00EF7EF4" w14:paraId="6EA6520F" w14:textId="77777777" w:rsidTr="0041104F">
        <w:trPr>
          <w:trHeight w:val="35"/>
        </w:trPr>
        <w:tc>
          <w:tcPr>
            <w:tcW w:w="1066" w:type="dxa"/>
            <w:vAlign w:val="center"/>
          </w:tcPr>
          <w:p w14:paraId="29A42B1C" w14:textId="715635E9" w:rsidR="00EF7EF4" w:rsidRDefault="00EF7EF4" w:rsidP="00EF7EF4">
            <w:r>
              <w:t>1.2.2</w:t>
            </w:r>
          </w:p>
        </w:tc>
        <w:tc>
          <w:tcPr>
            <w:tcW w:w="5034" w:type="dxa"/>
            <w:gridSpan w:val="3"/>
            <w:shd w:val="clear" w:color="auto" w:fill="DEEAF6" w:themeFill="accent5" w:themeFillTint="33"/>
            <w:vAlign w:val="center"/>
          </w:tcPr>
          <w:p w14:paraId="7F6A1C79" w14:textId="1BFE32EE" w:rsidR="00EF7EF4" w:rsidRDefault="00EF7EF4" w:rsidP="00EF7EF4">
            <w:r>
              <w:t>Non-Bank Financial Companies</w:t>
            </w:r>
          </w:p>
        </w:tc>
        <w:tc>
          <w:tcPr>
            <w:tcW w:w="1446" w:type="dxa"/>
            <w:gridSpan w:val="3"/>
            <w:vAlign w:val="center"/>
          </w:tcPr>
          <w:p w14:paraId="24D34F0F" w14:textId="77777777" w:rsidR="00EF7EF4" w:rsidRDefault="00EF7EF4" w:rsidP="00EF7EF4"/>
        </w:tc>
        <w:tc>
          <w:tcPr>
            <w:tcW w:w="1447" w:type="dxa"/>
          </w:tcPr>
          <w:p w14:paraId="598CCB17" w14:textId="65A1AAC3" w:rsidR="00EF7EF4" w:rsidRDefault="00EF7EF4" w:rsidP="00EF7EF4">
            <w:r w:rsidRPr="00E94C63">
              <w:t>X</w:t>
            </w:r>
          </w:p>
        </w:tc>
        <w:tc>
          <w:tcPr>
            <w:tcW w:w="1447" w:type="dxa"/>
            <w:vAlign w:val="center"/>
          </w:tcPr>
          <w:p w14:paraId="1A169030" w14:textId="75B36D04" w:rsidR="00EF7EF4" w:rsidRDefault="00EF7EF4" w:rsidP="00EF7EF4"/>
        </w:tc>
      </w:tr>
      <w:tr w:rsidR="00EF7EF4" w14:paraId="7099D2FD" w14:textId="77777777" w:rsidTr="0041104F">
        <w:trPr>
          <w:trHeight w:val="35"/>
        </w:trPr>
        <w:tc>
          <w:tcPr>
            <w:tcW w:w="1066" w:type="dxa"/>
            <w:vAlign w:val="center"/>
          </w:tcPr>
          <w:p w14:paraId="7DA6F45E" w14:textId="667136F4" w:rsidR="00EF7EF4" w:rsidRDefault="00EF7EF4" w:rsidP="00EF7EF4">
            <w:r>
              <w:t>1.2.3</w:t>
            </w:r>
          </w:p>
        </w:tc>
        <w:tc>
          <w:tcPr>
            <w:tcW w:w="5034" w:type="dxa"/>
            <w:gridSpan w:val="3"/>
            <w:shd w:val="clear" w:color="auto" w:fill="DEEAF6" w:themeFill="accent5" w:themeFillTint="33"/>
            <w:vAlign w:val="center"/>
          </w:tcPr>
          <w:p w14:paraId="0D159BE6" w14:textId="4EB65BAE" w:rsidR="00EF7EF4" w:rsidRDefault="00EF7EF4" w:rsidP="00EF7EF4">
            <w:r>
              <w:t>Insurance and Re-Insurance Categories</w:t>
            </w:r>
          </w:p>
        </w:tc>
        <w:tc>
          <w:tcPr>
            <w:tcW w:w="1446" w:type="dxa"/>
            <w:gridSpan w:val="3"/>
            <w:vAlign w:val="center"/>
          </w:tcPr>
          <w:p w14:paraId="110A8798" w14:textId="77777777" w:rsidR="00EF7EF4" w:rsidRDefault="00EF7EF4" w:rsidP="00EF7EF4"/>
        </w:tc>
        <w:tc>
          <w:tcPr>
            <w:tcW w:w="1447" w:type="dxa"/>
          </w:tcPr>
          <w:p w14:paraId="5C009F2B" w14:textId="0620E910" w:rsidR="00EF7EF4" w:rsidRDefault="00EF7EF4" w:rsidP="00EF7EF4">
            <w:r w:rsidRPr="00E94C63">
              <w:t>X</w:t>
            </w:r>
          </w:p>
        </w:tc>
        <w:tc>
          <w:tcPr>
            <w:tcW w:w="1447" w:type="dxa"/>
            <w:vAlign w:val="center"/>
          </w:tcPr>
          <w:p w14:paraId="08F9C226" w14:textId="1FB8BC1E" w:rsidR="00EF7EF4" w:rsidRDefault="00EF7EF4" w:rsidP="00EF7EF4"/>
        </w:tc>
      </w:tr>
      <w:tr w:rsidR="00EF7EF4" w14:paraId="0B1376C2" w14:textId="77777777" w:rsidTr="0041104F">
        <w:trPr>
          <w:trHeight w:val="35"/>
        </w:trPr>
        <w:tc>
          <w:tcPr>
            <w:tcW w:w="1066" w:type="dxa"/>
            <w:vAlign w:val="center"/>
          </w:tcPr>
          <w:p w14:paraId="58403409" w14:textId="72CEA12A" w:rsidR="00EF7EF4" w:rsidRDefault="00EF7EF4" w:rsidP="00EF7EF4">
            <w:r>
              <w:t>1.2.4</w:t>
            </w:r>
          </w:p>
        </w:tc>
        <w:tc>
          <w:tcPr>
            <w:tcW w:w="5034" w:type="dxa"/>
            <w:gridSpan w:val="3"/>
            <w:shd w:val="clear" w:color="auto" w:fill="DEEAF6" w:themeFill="accent5" w:themeFillTint="33"/>
            <w:vAlign w:val="center"/>
          </w:tcPr>
          <w:p w14:paraId="6B33EA91" w14:textId="6903C365" w:rsidR="00EF7EF4" w:rsidRDefault="00EF7EF4" w:rsidP="00EF7EF4">
            <w:r>
              <w:t>Asset Managers</w:t>
            </w:r>
          </w:p>
        </w:tc>
        <w:tc>
          <w:tcPr>
            <w:tcW w:w="1446" w:type="dxa"/>
            <w:gridSpan w:val="3"/>
            <w:vAlign w:val="center"/>
          </w:tcPr>
          <w:p w14:paraId="41BABB9B" w14:textId="77777777" w:rsidR="00EF7EF4" w:rsidRDefault="00EF7EF4" w:rsidP="00EF7EF4"/>
        </w:tc>
        <w:tc>
          <w:tcPr>
            <w:tcW w:w="1447" w:type="dxa"/>
          </w:tcPr>
          <w:p w14:paraId="33BBF79C" w14:textId="3799C5B5" w:rsidR="00EF7EF4" w:rsidRDefault="00EF7EF4" w:rsidP="00EF7EF4">
            <w:r w:rsidRPr="00E94C63">
              <w:t>X</w:t>
            </w:r>
          </w:p>
        </w:tc>
        <w:tc>
          <w:tcPr>
            <w:tcW w:w="1447" w:type="dxa"/>
            <w:vAlign w:val="center"/>
          </w:tcPr>
          <w:p w14:paraId="32192E56" w14:textId="674207D8" w:rsidR="00EF7EF4" w:rsidRDefault="00EF7EF4" w:rsidP="00EF7EF4"/>
        </w:tc>
      </w:tr>
      <w:tr w:rsidR="00EF7EF4" w14:paraId="37613CF2" w14:textId="77777777" w:rsidTr="0041104F">
        <w:trPr>
          <w:trHeight w:val="35"/>
        </w:trPr>
        <w:tc>
          <w:tcPr>
            <w:tcW w:w="1066" w:type="dxa"/>
            <w:vAlign w:val="center"/>
          </w:tcPr>
          <w:p w14:paraId="04BF97F8" w14:textId="5C3740A0" w:rsidR="00EF7EF4" w:rsidRDefault="00EF7EF4" w:rsidP="00EF7EF4">
            <w:r>
              <w:t>1.2.5</w:t>
            </w:r>
          </w:p>
        </w:tc>
        <w:tc>
          <w:tcPr>
            <w:tcW w:w="5034" w:type="dxa"/>
            <w:gridSpan w:val="3"/>
            <w:shd w:val="clear" w:color="auto" w:fill="DEEAF6" w:themeFill="accent5" w:themeFillTint="33"/>
            <w:vAlign w:val="center"/>
          </w:tcPr>
          <w:p w14:paraId="7D1B4D23" w14:textId="1B14049D" w:rsidR="00EF7EF4" w:rsidRDefault="00EF7EF4" w:rsidP="00EF7EF4">
            <w:r>
              <w:t>Pension Funds</w:t>
            </w:r>
          </w:p>
        </w:tc>
        <w:tc>
          <w:tcPr>
            <w:tcW w:w="1446" w:type="dxa"/>
            <w:gridSpan w:val="3"/>
            <w:vAlign w:val="center"/>
          </w:tcPr>
          <w:p w14:paraId="1B6B3D04" w14:textId="77777777" w:rsidR="00EF7EF4" w:rsidRDefault="00EF7EF4" w:rsidP="00EF7EF4"/>
        </w:tc>
        <w:tc>
          <w:tcPr>
            <w:tcW w:w="1447" w:type="dxa"/>
          </w:tcPr>
          <w:p w14:paraId="7C107B52" w14:textId="214281C1" w:rsidR="00EF7EF4" w:rsidRDefault="00EF7EF4" w:rsidP="00EF7EF4">
            <w:r w:rsidRPr="00E94C63">
              <w:t>X</w:t>
            </w:r>
          </w:p>
        </w:tc>
        <w:tc>
          <w:tcPr>
            <w:tcW w:w="1447" w:type="dxa"/>
            <w:vAlign w:val="center"/>
          </w:tcPr>
          <w:p w14:paraId="4535AE01" w14:textId="6F0A66EC" w:rsidR="00EF7EF4" w:rsidRDefault="00EF7EF4" w:rsidP="00EF7EF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B60D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lastRenderedPageBreak/>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E58C71F"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4EDBB8A4" w:rsidR="00911F20" w:rsidRDefault="00EF7EF4"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E475740" w:rsidR="00911F20" w:rsidRDefault="00EF7EF4"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E36786D" w:rsidR="009C4798" w:rsidRDefault="00EF7EF4" w:rsidP="00DD3144">
            <w:r>
              <w:t xml:space="preserve">Companies may choose not to </w:t>
            </w:r>
            <w:proofErr w:type="gramStart"/>
            <w:r>
              <w:t>comply</w:t>
            </w:r>
            <w:proofErr w:type="gramEnd"/>
            <w:r>
              <w:t xml:space="preserve"> but they must explain their rationale for their non-compliance, as noted above.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EDDB5C5"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A93097B" w:rsidR="00C57511" w:rsidRPr="00FA0CF8" w:rsidRDefault="00902BA6"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40AB56F1" w:rsidR="00654950" w:rsidRDefault="00902BA6" w:rsidP="00DD3144">
            <w:pPr>
              <w:spacing w:line="276" w:lineRule="auto"/>
              <w:rPr>
                <w:color w:val="000000" w:themeColor="text1"/>
              </w:rPr>
            </w:pPr>
            <w:r>
              <w:rPr>
                <w:color w:val="000000" w:themeColor="text1"/>
              </w:rPr>
              <w:t xml:space="preserve">There are examples of entities preparing reports on compliance with the code, for example see: </w:t>
            </w:r>
            <w:hyperlink r:id="rId18" w:history="1">
              <w:r w:rsidRPr="00A74240">
                <w:rPr>
                  <w:rStyle w:val="Hyperlink"/>
                </w:rPr>
                <w:t>https://web.archive.org/web/20250701031420/https://www.egx.com.eg/downloads/Bulletins/303877_2.pdf</w:t>
              </w:r>
            </w:hyperlink>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902BA6">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902BA6">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902BA6">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757F9EC4" w:rsidR="00042406" w:rsidRDefault="00902BA6" w:rsidP="00DD3144">
            <w:r>
              <w:t>X</w:t>
            </w:r>
          </w:p>
        </w:tc>
      </w:tr>
      <w:tr w:rsidR="00902BA6" w14:paraId="3C2151B2" w14:textId="77777777" w:rsidTr="00902BA6">
        <w:tc>
          <w:tcPr>
            <w:tcW w:w="828" w:type="dxa"/>
            <w:vAlign w:val="center"/>
          </w:tcPr>
          <w:p w14:paraId="353FA123" w14:textId="18F73352" w:rsidR="00902BA6" w:rsidRDefault="00902BA6" w:rsidP="00902BA6">
            <w:r>
              <w:t>1.17.2</w:t>
            </w:r>
          </w:p>
        </w:tc>
        <w:tc>
          <w:tcPr>
            <w:tcW w:w="3507" w:type="dxa"/>
            <w:shd w:val="clear" w:color="auto" w:fill="DEEAF6" w:themeFill="accent5" w:themeFillTint="33"/>
            <w:vAlign w:val="center"/>
          </w:tcPr>
          <w:p w14:paraId="6CAC9070" w14:textId="18D7CFB9" w:rsidR="00902BA6" w:rsidRPr="008835E8" w:rsidRDefault="00902BA6" w:rsidP="00902BA6">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902BA6" w:rsidRDefault="00902BA6" w:rsidP="00902BA6"/>
        </w:tc>
        <w:tc>
          <w:tcPr>
            <w:tcW w:w="1391" w:type="dxa"/>
            <w:vAlign w:val="center"/>
          </w:tcPr>
          <w:p w14:paraId="07C6BDE2" w14:textId="77777777" w:rsidR="00902BA6" w:rsidRDefault="00902BA6" w:rsidP="00902BA6"/>
        </w:tc>
        <w:tc>
          <w:tcPr>
            <w:tcW w:w="3323" w:type="dxa"/>
          </w:tcPr>
          <w:p w14:paraId="6E6F3A6D" w14:textId="2C405A84" w:rsidR="00902BA6" w:rsidRDefault="00902BA6" w:rsidP="00902BA6">
            <w:r w:rsidRPr="00734CD6">
              <w:t>X</w:t>
            </w:r>
          </w:p>
        </w:tc>
      </w:tr>
      <w:tr w:rsidR="00902BA6" w14:paraId="3D028064" w14:textId="77777777" w:rsidTr="00902BA6">
        <w:tc>
          <w:tcPr>
            <w:tcW w:w="828" w:type="dxa"/>
            <w:vAlign w:val="center"/>
          </w:tcPr>
          <w:p w14:paraId="6547FB4B" w14:textId="5692E027" w:rsidR="00902BA6" w:rsidRDefault="00902BA6" w:rsidP="00902BA6">
            <w:r>
              <w:t>1.17.3</w:t>
            </w:r>
          </w:p>
        </w:tc>
        <w:tc>
          <w:tcPr>
            <w:tcW w:w="3507" w:type="dxa"/>
            <w:shd w:val="clear" w:color="auto" w:fill="DEEAF6" w:themeFill="accent5" w:themeFillTint="33"/>
            <w:vAlign w:val="center"/>
          </w:tcPr>
          <w:p w14:paraId="36E542DF" w14:textId="1678FCC4" w:rsidR="00902BA6" w:rsidRDefault="00902BA6" w:rsidP="00902BA6">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902BA6" w:rsidRDefault="00902BA6" w:rsidP="00902BA6"/>
        </w:tc>
        <w:tc>
          <w:tcPr>
            <w:tcW w:w="1391" w:type="dxa"/>
            <w:vAlign w:val="center"/>
          </w:tcPr>
          <w:p w14:paraId="78F2FEC9" w14:textId="77777777" w:rsidR="00902BA6" w:rsidRDefault="00902BA6" w:rsidP="00902BA6"/>
        </w:tc>
        <w:tc>
          <w:tcPr>
            <w:tcW w:w="3323" w:type="dxa"/>
          </w:tcPr>
          <w:p w14:paraId="1D255A36" w14:textId="3BDD3D9D" w:rsidR="00902BA6" w:rsidRDefault="00902BA6" w:rsidP="00902BA6">
            <w:r w:rsidRPr="00734CD6">
              <w:t>X</w:t>
            </w:r>
          </w:p>
        </w:tc>
      </w:tr>
      <w:tr w:rsidR="00902BA6" w14:paraId="3C6AE41B" w14:textId="77777777" w:rsidTr="00902BA6">
        <w:tc>
          <w:tcPr>
            <w:tcW w:w="828" w:type="dxa"/>
            <w:vAlign w:val="center"/>
          </w:tcPr>
          <w:p w14:paraId="24044DB4" w14:textId="521818DB" w:rsidR="00902BA6" w:rsidRDefault="00902BA6" w:rsidP="00902BA6">
            <w:r>
              <w:t>1.17.4</w:t>
            </w:r>
          </w:p>
        </w:tc>
        <w:tc>
          <w:tcPr>
            <w:tcW w:w="3507" w:type="dxa"/>
            <w:shd w:val="clear" w:color="auto" w:fill="DEEAF6" w:themeFill="accent5" w:themeFillTint="33"/>
            <w:vAlign w:val="center"/>
          </w:tcPr>
          <w:p w14:paraId="332CAB73" w14:textId="48F039B7" w:rsidR="00902BA6" w:rsidRDefault="00902BA6" w:rsidP="00902BA6">
            <w:pPr>
              <w:spacing w:line="276" w:lineRule="auto"/>
            </w:pPr>
            <w:r>
              <w:t>Other climate-related targets</w:t>
            </w:r>
          </w:p>
        </w:tc>
        <w:tc>
          <w:tcPr>
            <w:tcW w:w="1391" w:type="dxa"/>
            <w:gridSpan w:val="2"/>
            <w:vAlign w:val="center"/>
          </w:tcPr>
          <w:p w14:paraId="5425AFE8" w14:textId="1E97733D" w:rsidR="00902BA6" w:rsidRDefault="00902BA6" w:rsidP="00902BA6"/>
        </w:tc>
        <w:tc>
          <w:tcPr>
            <w:tcW w:w="1391" w:type="dxa"/>
            <w:vAlign w:val="center"/>
          </w:tcPr>
          <w:p w14:paraId="44DA35FE" w14:textId="77777777" w:rsidR="00902BA6" w:rsidRDefault="00902BA6" w:rsidP="00902BA6"/>
        </w:tc>
        <w:tc>
          <w:tcPr>
            <w:tcW w:w="3323" w:type="dxa"/>
          </w:tcPr>
          <w:p w14:paraId="02561B88" w14:textId="31918AB3" w:rsidR="00902BA6" w:rsidRDefault="00902BA6" w:rsidP="00902BA6">
            <w:r w:rsidRPr="00734CD6">
              <w:t>X</w:t>
            </w:r>
          </w:p>
        </w:tc>
      </w:tr>
      <w:tr w:rsidR="00902BA6" w14:paraId="4D444617" w14:textId="77777777" w:rsidTr="00902BA6">
        <w:tc>
          <w:tcPr>
            <w:tcW w:w="828" w:type="dxa"/>
            <w:vAlign w:val="center"/>
          </w:tcPr>
          <w:p w14:paraId="6BBDC663" w14:textId="141F42BA" w:rsidR="00902BA6" w:rsidRDefault="00902BA6" w:rsidP="00902BA6">
            <w:r>
              <w:t>1.17.5</w:t>
            </w:r>
          </w:p>
        </w:tc>
        <w:tc>
          <w:tcPr>
            <w:tcW w:w="3507" w:type="dxa"/>
            <w:shd w:val="clear" w:color="auto" w:fill="DEEAF6" w:themeFill="accent5" w:themeFillTint="33"/>
            <w:vAlign w:val="center"/>
          </w:tcPr>
          <w:p w14:paraId="40B8B238" w14:textId="0D3C00CC" w:rsidR="00902BA6" w:rsidRPr="00A84C61" w:rsidRDefault="00902BA6" w:rsidP="00902BA6">
            <w:pPr>
              <w:spacing w:line="276" w:lineRule="auto"/>
              <w:rPr>
                <w:b/>
                <w:color w:val="7030A0"/>
              </w:rPr>
            </w:pPr>
            <w:r w:rsidRPr="00A84C61">
              <w:rPr>
                <w:b/>
                <w:color w:val="7030A0"/>
              </w:rPr>
              <w:t>Physical climate risk</w:t>
            </w:r>
          </w:p>
        </w:tc>
        <w:tc>
          <w:tcPr>
            <w:tcW w:w="1391" w:type="dxa"/>
            <w:gridSpan w:val="2"/>
            <w:vAlign w:val="center"/>
          </w:tcPr>
          <w:p w14:paraId="6A70A7FE" w14:textId="1B883FA2" w:rsidR="00902BA6" w:rsidRDefault="00902BA6" w:rsidP="00902BA6">
            <w:r>
              <w:t>X</w:t>
            </w:r>
          </w:p>
        </w:tc>
        <w:tc>
          <w:tcPr>
            <w:tcW w:w="1391" w:type="dxa"/>
            <w:vAlign w:val="center"/>
          </w:tcPr>
          <w:p w14:paraId="7EE9A7FE" w14:textId="77777777" w:rsidR="00902BA6" w:rsidRDefault="00902BA6" w:rsidP="00902BA6"/>
        </w:tc>
        <w:tc>
          <w:tcPr>
            <w:tcW w:w="3323" w:type="dxa"/>
          </w:tcPr>
          <w:p w14:paraId="64DEAA9D" w14:textId="54FDF959" w:rsidR="00902BA6" w:rsidRDefault="00902BA6" w:rsidP="00902BA6"/>
        </w:tc>
      </w:tr>
      <w:tr w:rsidR="00902BA6" w14:paraId="59F69D34" w14:textId="77777777" w:rsidTr="00902BA6">
        <w:tc>
          <w:tcPr>
            <w:tcW w:w="828" w:type="dxa"/>
            <w:vAlign w:val="center"/>
          </w:tcPr>
          <w:p w14:paraId="1DEA79A8" w14:textId="2D5B6F1F" w:rsidR="00902BA6" w:rsidRDefault="00902BA6" w:rsidP="00902BA6">
            <w:r>
              <w:t>1.17.6</w:t>
            </w:r>
          </w:p>
        </w:tc>
        <w:tc>
          <w:tcPr>
            <w:tcW w:w="3507" w:type="dxa"/>
            <w:shd w:val="clear" w:color="auto" w:fill="DEEAF6" w:themeFill="accent5" w:themeFillTint="33"/>
            <w:vAlign w:val="center"/>
          </w:tcPr>
          <w:p w14:paraId="5F8AC5BC" w14:textId="51F74AFB" w:rsidR="00902BA6" w:rsidRDefault="00902BA6" w:rsidP="00902BA6">
            <w:pPr>
              <w:spacing w:line="276" w:lineRule="auto"/>
            </w:pPr>
            <w:r>
              <w:t>Transition risk</w:t>
            </w:r>
          </w:p>
        </w:tc>
        <w:tc>
          <w:tcPr>
            <w:tcW w:w="1391" w:type="dxa"/>
            <w:gridSpan w:val="2"/>
            <w:vAlign w:val="center"/>
          </w:tcPr>
          <w:p w14:paraId="4749D1D6" w14:textId="5E2F8193" w:rsidR="00902BA6" w:rsidRDefault="00902BA6" w:rsidP="00902BA6"/>
        </w:tc>
        <w:tc>
          <w:tcPr>
            <w:tcW w:w="1391" w:type="dxa"/>
            <w:vAlign w:val="center"/>
          </w:tcPr>
          <w:p w14:paraId="7603D43B" w14:textId="77777777" w:rsidR="00902BA6" w:rsidRDefault="00902BA6" w:rsidP="00902BA6"/>
        </w:tc>
        <w:tc>
          <w:tcPr>
            <w:tcW w:w="3323" w:type="dxa"/>
          </w:tcPr>
          <w:p w14:paraId="0BF1E54E" w14:textId="2F0ABA8C" w:rsidR="00902BA6" w:rsidRDefault="00902BA6" w:rsidP="00902BA6">
            <w:r w:rsidRPr="00734CD6">
              <w:t>X</w:t>
            </w:r>
          </w:p>
        </w:tc>
      </w:tr>
      <w:tr w:rsidR="00902BA6" w14:paraId="04F9F37D" w14:textId="77777777" w:rsidTr="00902BA6">
        <w:tc>
          <w:tcPr>
            <w:tcW w:w="828" w:type="dxa"/>
            <w:vAlign w:val="center"/>
          </w:tcPr>
          <w:p w14:paraId="5E09BF16" w14:textId="391B683A" w:rsidR="00902BA6" w:rsidRDefault="00902BA6" w:rsidP="00902BA6">
            <w:r>
              <w:t>1.17.7</w:t>
            </w:r>
          </w:p>
        </w:tc>
        <w:tc>
          <w:tcPr>
            <w:tcW w:w="3507" w:type="dxa"/>
            <w:shd w:val="clear" w:color="auto" w:fill="DEEAF6" w:themeFill="accent5" w:themeFillTint="33"/>
            <w:vAlign w:val="center"/>
          </w:tcPr>
          <w:p w14:paraId="7058BA28" w14:textId="170453DB" w:rsidR="00902BA6" w:rsidRPr="009E7C10" w:rsidRDefault="00902BA6" w:rsidP="00902BA6">
            <w:pPr>
              <w:spacing w:line="276" w:lineRule="auto"/>
              <w:rPr>
                <w:b/>
                <w:color w:val="7030A0"/>
              </w:rPr>
            </w:pPr>
            <w:r w:rsidRPr="009E7C10">
              <w:rPr>
                <w:b/>
                <w:color w:val="7030A0"/>
              </w:rPr>
              <w:t>Transition plan</w:t>
            </w:r>
          </w:p>
        </w:tc>
        <w:tc>
          <w:tcPr>
            <w:tcW w:w="1391" w:type="dxa"/>
            <w:gridSpan w:val="2"/>
            <w:vAlign w:val="center"/>
          </w:tcPr>
          <w:p w14:paraId="36F4A1DC" w14:textId="5D5A681B" w:rsidR="00902BA6" w:rsidRDefault="00902BA6" w:rsidP="00902BA6"/>
        </w:tc>
        <w:tc>
          <w:tcPr>
            <w:tcW w:w="1391" w:type="dxa"/>
            <w:vAlign w:val="center"/>
          </w:tcPr>
          <w:p w14:paraId="61F239DB" w14:textId="77777777" w:rsidR="00902BA6" w:rsidRDefault="00902BA6" w:rsidP="00902BA6"/>
        </w:tc>
        <w:tc>
          <w:tcPr>
            <w:tcW w:w="3323" w:type="dxa"/>
          </w:tcPr>
          <w:p w14:paraId="24A26498" w14:textId="49A35F35" w:rsidR="00902BA6" w:rsidRDefault="00902BA6" w:rsidP="00902BA6">
            <w:r w:rsidRPr="00734CD6">
              <w:t>X</w:t>
            </w:r>
          </w:p>
        </w:tc>
      </w:tr>
      <w:tr w:rsidR="00931F08" w14:paraId="65209187" w14:textId="77777777" w:rsidTr="00902BA6">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902BA6">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902BA6">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902BA6">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902BA6">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902BA6">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902BA6">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902BA6">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902BA6">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902BA6">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902BA6">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902BA6">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902BA6">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902BA6">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902BA6">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902BA6">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902BA6">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902BA6">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902BA6">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902BA6">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902BA6">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902BA6">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902BA6">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902BA6">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902BA6">
        <w:trPr>
          <w:trHeight w:val="38"/>
        </w:trPr>
        <w:tc>
          <w:tcPr>
            <w:tcW w:w="828" w:type="dxa"/>
            <w:vAlign w:val="center"/>
          </w:tcPr>
          <w:p w14:paraId="15F2841E" w14:textId="26085E1F" w:rsidR="00B0479E" w:rsidRDefault="00B0479E" w:rsidP="00DD3144">
            <w:r>
              <w:lastRenderedPageBreak/>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902BA6">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902BA6">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902BA6">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902BA6">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902BA6">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902BA6">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902BA6">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902BA6">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902BA6">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902BA6">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902BA6">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902BA6">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902BA6">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902BA6">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902BA6">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902BA6">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902BA6">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902BA6">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902BA6">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902BA6">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902BA6">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902BA6">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902BA6">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902BA6">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902BA6">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902BA6">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902BA6">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902BA6">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902BA6">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902BA6">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902BA6">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902BA6">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902BA6">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902BA6">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902BA6">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902BA6">
        <w:trPr>
          <w:trHeight w:val="21"/>
        </w:trPr>
        <w:tc>
          <w:tcPr>
            <w:tcW w:w="828" w:type="dxa"/>
            <w:vAlign w:val="center"/>
          </w:tcPr>
          <w:p w14:paraId="46D6E5DE" w14:textId="38AD4511" w:rsidR="00B0479E" w:rsidRDefault="00B0479E" w:rsidP="00DD3144">
            <w:r>
              <w:lastRenderedPageBreak/>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902BA6">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902BA6">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902BA6">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902BA6">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902BA6">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902BA6">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902BA6">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902BA6">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902BA6">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902BA6">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902BA6">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902BA6">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902BA6">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902BA6">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902BA6">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902BA6">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902BA6">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902BA6">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902BA6">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902BA6">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902BA6">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902BA6">
        <w:trPr>
          <w:trHeight w:val="27"/>
        </w:trPr>
        <w:tc>
          <w:tcPr>
            <w:tcW w:w="828" w:type="dxa"/>
            <w:vAlign w:val="center"/>
          </w:tcPr>
          <w:p w14:paraId="76EE8A7D" w14:textId="1ED841C2" w:rsidR="00B0479E" w:rsidRPr="00765130" w:rsidRDefault="00B0479E" w:rsidP="00DD3144">
            <w:pPr>
              <w:rPr>
                <w:b/>
                <w:bCs/>
              </w:rPr>
            </w:pPr>
            <w:r>
              <w:rPr>
                <w:b/>
                <w:bCs/>
              </w:rPr>
              <w:lastRenderedPageBreak/>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902BA6">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902BA6">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902BA6">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902BA6">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902BA6">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902BA6">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902BA6">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902BA6">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902BA6">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902BA6">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902BA6">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902BA6">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902BA6">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902BA6">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902BA6">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902BA6">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902BA6">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902BA6">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902BA6">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902BA6">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902BA6">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902BA6">
        <w:trPr>
          <w:trHeight w:val="74"/>
        </w:trPr>
        <w:tc>
          <w:tcPr>
            <w:tcW w:w="828" w:type="dxa"/>
            <w:vAlign w:val="center"/>
          </w:tcPr>
          <w:p w14:paraId="5A58582D" w14:textId="052ABF16" w:rsidR="00B0479E" w:rsidRDefault="00B0479E" w:rsidP="00DD3144">
            <w:r>
              <w:lastRenderedPageBreak/>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902BA6">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902BA6">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902BA6">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902BA6">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902BA6">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902BA6">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902BA6">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902BA6">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902BA6">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902BA6">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902BA6">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902BA6">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902BA6">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902BA6">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902BA6">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902BA6">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902BA6">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902BA6">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902BA6">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902BA6">
        <w:trPr>
          <w:trHeight w:val="533"/>
        </w:trPr>
        <w:tc>
          <w:tcPr>
            <w:tcW w:w="828" w:type="dxa"/>
            <w:vAlign w:val="center"/>
          </w:tcPr>
          <w:p w14:paraId="7B9EF357" w14:textId="385F5475" w:rsidR="00EC42A1" w:rsidRDefault="00EC42A1" w:rsidP="00DD3144">
            <w:r>
              <w:lastRenderedPageBreak/>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B05BDD8" w:rsidR="00EC42A1" w:rsidRDefault="00657468" w:rsidP="00DD3144">
            <w:r>
              <w:t>X</w:t>
            </w:r>
          </w:p>
        </w:tc>
      </w:tr>
      <w:tr w:rsidR="00EC42A1" w14:paraId="1557983D" w14:textId="77777777" w:rsidTr="00902BA6">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902BA6">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902BA6">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902BA6">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0C97AF22" w:rsidR="00EC42A1" w:rsidRDefault="00EC42A1" w:rsidP="00DD3144"/>
        </w:tc>
      </w:tr>
      <w:tr w:rsidR="00EC42A1" w14:paraId="6EF3B20D" w14:textId="77777777" w:rsidTr="00902BA6">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902BA6">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322660DA" w:rsidR="00EC42A1" w:rsidRDefault="00657468" w:rsidP="00DD3144">
            <w:r>
              <w:t>X</w:t>
            </w:r>
          </w:p>
        </w:tc>
      </w:tr>
      <w:tr w:rsidR="00EC42A1" w14:paraId="7906EB0B" w14:textId="77777777" w:rsidTr="00902BA6">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902BA6">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18B02188" w:rsidR="00EC42A1" w:rsidRDefault="00657468" w:rsidP="00DD3144">
            <w:r>
              <w:t>Recommended to produce a sustainability report that should cover at least the company’s policy on the environment and its impact on such environment that it operates within (s.3.4.5).</w:t>
            </w:r>
          </w:p>
        </w:tc>
      </w:tr>
      <w:tr w:rsidR="00EC42A1" w14:paraId="0DA41032" w14:textId="77777777" w:rsidTr="00902BA6">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902BA6">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902BA6">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38030B37" w:rsidR="00EC42A1" w:rsidRDefault="00657468" w:rsidP="00DD3144">
            <w:r>
              <w:t>X</w:t>
            </w:r>
          </w:p>
        </w:tc>
      </w:tr>
      <w:tr w:rsidR="00EC42A1" w14:paraId="3F5A078D" w14:textId="77777777" w:rsidTr="00902BA6">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7D21F49" w:rsidR="00EC42A1" w:rsidRDefault="00657468" w:rsidP="00DD3144">
            <w:r>
              <w:t>X</w:t>
            </w:r>
          </w:p>
        </w:tc>
      </w:tr>
      <w:tr w:rsidR="00EC42A1" w14:paraId="6DB7FA2D" w14:textId="77777777" w:rsidTr="00902BA6">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307195A" w:rsidR="00EC42A1" w:rsidRDefault="00657468"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902BA6">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902BA6">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902BA6">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902BA6">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902BA6">
        <w:trPr>
          <w:trHeight w:val="20"/>
        </w:trPr>
        <w:tc>
          <w:tcPr>
            <w:tcW w:w="828" w:type="dxa"/>
            <w:vAlign w:val="center"/>
          </w:tcPr>
          <w:p w14:paraId="386CB503" w14:textId="663DDA20" w:rsidR="00484663" w:rsidRPr="003634F2" w:rsidRDefault="00484663" w:rsidP="00DD3144">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902BA6">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902BA6">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902BA6">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902BA6">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902BA6">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902BA6">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902BA6">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657468" w14:paraId="08A84288" w14:textId="77777777" w:rsidTr="00900749">
        <w:trPr>
          <w:trHeight w:val="53"/>
        </w:trPr>
        <w:tc>
          <w:tcPr>
            <w:tcW w:w="828" w:type="dxa"/>
            <w:vAlign w:val="center"/>
          </w:tcPr>
          <w:p w14:paraId="3910D384" w14:textId="07A1E008" w:rsidR="00657468" w:rsidRDefault="00657468" w:rsidP="00657468">
            <w:r>
              <w:t>1.49.1</w:t>
            </w:r>
          </w:p>
        </w:tc>
        <w:tc>
          <w:tcPr>
            <w:tcW w:w="3507" w:type="dxa"/>
            <w:shd w:val="clear" w:color="auto" w:fill="DEEAF6" w:themeFill="accent5" w:themeFillTint="33"/>
            <w:vAlign w:val="center"/>
          </w:tcPr>
          <w:p w14:paraId="558F4A24" w14:textId="63B241B0" w:rsidR="00657468" w:rsidRDefault="00657468" w:rsidP="00657468">
            <w:r>
              <w:t>Entities disclose the results of climate-related risk stress tests that are related to transition risk</w:t>
            </w:r>
          </w:p>
        </w:tc>
        <w:tc>
          <w:tcPr>
            <w:tcW w:w="1391" w:type="dxa"/>
            <w:gridSpan w:val="2"/>
            <w:vAlign w:val="center"/>
          </w:tcPr>
          <w:p w14:paraId="751C2316" w14:textId="77777777" w:rsidR="00657468" w:rsidRDefault="00657468" w:rsidP="00657468"/>
        </w:tc>
        <w:tc>
          <w:tcPr>
            <w:tcW w:w="1391" w:type="dxa"/>
            <w:vAlign w:val="center"/>
          </w:tcPr>
          <w:p w14:paraId="0216ACA0" w14:textId="77777777" w:rsidR="00657468" w:rsidRDefault="00657468" w:rsidP="00657468"/>
        </w:tc>
        <w:tc>
          <w:tcPr>
            <w:tcW w:w="3323" w:type="dxa"/>
          </w:tcPr>
          <w:p w14:paraId="7B766908" w14:textId="3380194B" w:rsidR="00657468" w:rsidRDefault="00657468" w:rsidP="00657468">
            <w:r w:rsidRPr="00EF4795">
              <w:t>X</w:t>
            </w:r>
          </w:p>
        </w:tc>
      </w:tr>
      <w:tr w:rsidR="00657468" w14:paraId="24BE2638" w14:textId="77777777" w:rsidTr="00900749">
        <w:trPr>
          <w:trHeight w:val="438"/>
        </w:trPr>
        <w:tc>
          <w:tcPr>
            <w:tcW w:w="828" w:type="dxa"/>
            <w:vAlign w:val="center"/>
          </w:tcPr>
          <w:p w14:paraId="4B755DB2" w14:textId="22445BB9" w:rsidR="00657468" w:rsidRDefault="00657468" w:rsidP="00657468">
            <w:r>
              <w:t>1.49.2</w:t>
            </w:r>
          </w:p>
        </w:tc>
        <w:tc>
          <w:tcPr>
            <w:tcW w:w="3507" w:type="dxa"/>
            <w:shd w:val="clear" w:color="auto" w:fill="DEEAF6" w:themeFill="accent5" w:themeFillTint="33"/>
            <w:vAlign w:val="center"/>
          </w:tcPr>
          <w:p w14:paraId="70984490" w14:textId="137DFE69" w:rsidR="00657468" w:rsidRDefault="00657468" w:rsidP="00657468">
            <w:r>
              <w:t>Entities have transition risk assessment be third-party verified</w:t>
            </w:r>
          </w:p>
        </w:tc>
        <w:tc>
          <w:tcPr>
            <w:tcW w:w="1391" w:type="dxa"/>
            <w:gridSpan w:val="2"/>
            <w:vAlign w:val="center"/>
          </w:tcPr>
          <w:p w14:paraId="1C8B2C6B" w14:textId="77777777" w:rsidR="00657468" w:rsidRDefault="00657468" w:rsidP="00657468"/>
        </w:tc>
        <w:tc>
          <w:tcPr>
            <w:tcW w:w="1391" w:type="dxa"/>
            <w:vAlign w:val="center"/>
          </w:tcPr>
          <w:p w14:paraId="1315AFFB" w14:textId="77777777" w:rsidR="00657468" w:rsidRDefault="00657468" w:rsidP="00657468"/>
        </w:tc>
        <w:tc>
          <w:tcPr>
            <w:tcW w:w="3323" w:type="dxa"/>
          </w:tcPr>
          <w:p w14:paraId="3A0D212A" w14:textId="5457189A" w:rsidR="00657468" w:rsidRDefault="00657468" w:rsidP="00657468">
            <w:r w:rsidRPr="00EF4795">
              <w:t>X</w:t>
            </w:r>
          </w:p>
        </w:tc>
      </w:tr>
      <w:tr w:rsidR="00657468" w14:paraId="2D11877E" w14:textId="77777777" w:rsidTr="00900749">
        <w:trPr>
          <w:trHeight w:val="53"/>
        </w:trPr>
        <w:tc>
          <w:tcPr>
            <w:tcW w:w="828" w:type="dxa"/>
            <w:vAlign w:val="center"/>
          </w:tcPr>
          <w:p w14:paraId="523FC108" w14:textId="2523E837" w:rsidR="00657468" w:rsidRDefault="00657468" w:rsidP="00657468">
            <w:r>
              <w:t>1.49.3</w:t>
            </w:r>
          </w:p>
        </w:tc>
        <w:tc>
          <w:tcPr>
            <w:tcW w:w="3507" w:type="dxa"/>
            <w:shd w:val="clear" w:color="auto" w:fill="DEEAF6" w:themeFill="accent5" w:themeFillTint="33"/>
            <w:vAlign w:val="center"/>
          </w:tcPr>
          <w:p w14:paraId="72DD216D" w14:textId="0328FB35" w:rsidR="00657468" w:rsidRDefault="00657468" w:rsidP="00657468">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657468" w:rsidRDefault="00657468" w:rsidP="00657468"/>
        </w:tc>
        <w:tc>
          <w:tcPr>
            <w:tcW w:w="1391" w:type="dxa"/>
            <w:vAlign w:val="center"/>
          </w:tcPr>
          <w:p w14:paraId="59497AC2" w14:textId="77777777" w:rsidR="00657468" w:rsidRDefault="00657468" w:rsidP="00657468"/>
        </w:tc>
        <w:tc>
          <w:tcPr>
            <w:tcW w:w="3323" w:type="dxa"/>
          </w:tcPr>
          <w:p w14:paraId="2DCD03A4" w14:textId="2C57BB4A" w:rsidR="00657468" w:rsidRDefault="00657468" w:rsidP="00657468">
            <w:r w:rsidRPr="00EF4795">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902BA6">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902BA6">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902BA6">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902BA6">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902BA6">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902BA6">
        <w:tc>
          <w:tcPr>
            <w:tcW w:w="828" w:type="dxa"/>
            <w:vAlign w:val="center"/>
          </w:tcPr>
          <w:p w14:paraId="76BAA334" w14:textId="57D939F2" w:rsidR="00484663" w:rsidRPr="00375D49" w:rsidRDefault="00484663" w:rsidP="00DD3144">
            <w:pPr>
              <w:rPr>
                <w:b/>
                <w:bCs/>
              </w:rPr>
            </w:pPr>
            <w:r>
              <w:rPr>
                <w:b/>
                <w:bCs/>
              </w:rPr>
              <w:lastRenderedPageBreak/>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902BA6">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902BA6">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902BA6">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902BA6">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902BA6">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902BA6">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902BA6">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902BA6">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902BA6">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902BA6">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902BA6">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902BA6">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902BA6">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902BA6">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902BA6">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902BA6">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902BA6">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902BA6">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902BA6">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902BA6">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902BA6">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902BA6">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902BA6">
        <w:tc>
          <w:tcPr>
            <w:tcW w:w="828" w:type="dxa"/>
            <w:vAlign w:val="center"/>
          </w:tcPr>
          <w:p w14:paraId="51851A22" w14:textId="6FCAC19F" w:rsidR="00484663" w:rsidRPr="002B6C7E" w:rsidRDefault="00484663" w:rsidP="00DD3144">
            <w:pPr>
              <w:rPr>
                <w:b/>
                <w:bCs/>
              </w:rPr>
            </w:pPr>
            <w:r w:rsidRPr="002B6C7E">
              <w:rPr>
                <w:b/>
                <w:bCs/>
              </w:rPr>
              <w:lastRenderedPageBreak/>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902BA6">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902BA6">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902BA6">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902BA6">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902BA6">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902BA6">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902BA6">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457310A2" w:rsidR="00484663" w:rsidRDefault="00657468" w:rsidP="00DD3144">
            <w:r>
              <w:t xml:space="preserve">Under s.3.4.5, the company is recommended to produce a sustainability report, highlighting its achievements in environmental and social fields. The report must satisfy the principles of transparency, accuracy, completeness, comprehensiveness, impartiality and the report must be produced on a regular basis. Such report should also include the company’s policy on the environment in which it operates in </w:t>
            </w:r>
            <w:proofErr w:type="gramStart"/>
            <w:r>
              <w:t>and also</w:t>
            </w:r>
            <w:proofErr w:type="gramEnd"/>
            <w:r>
              <w:t xml:space="preserve"> the impact thereon.</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58"/>
        <w:gridCol w:w="4222"/>
        <w:gridCol w:w="1771"/>
        <w:gridCol w:w="1918"/>
        <w:gridCol w:w="1887"/>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D6AA03E" w:rsidR="00DA416F" w:rsidRPr="00DD3144" w:rsidRDefault="00657468" w:rsidP="00DD3144">
            <w:pPr>
              <w:keepNext/>
              <w:rPr>
                <w:rFonts w:ascii="Calibri" w:hAnsi="Calibri" w:cs="Calibri"/>
              </w:rPr>
            </w:pPr>
            <w:r>
              <w:rPr>
                <w:rFonts w:ascii="Calibri" w:hAnsi="Calibri" w:cs="Calibri"/>
              </w:rPr>
              <w:t>X</w:t>
            </w:r>
          </w:p>
        </w:tc>
      </w:tr>
      <w:tr w:rsidR="00657468" w:rsidRPr="00DD3144" w14:paraId="0EE095AE" w14:textId="77777777" w:rsidTr="00550FED">
        <w:trPr>
          <w:trHeight w:val="21"/>
        </w:trPr>
        <w:tc>
          <w:tcPr>
            <w:tcW w:w="1066" w:type="dxa"/>
            <w:vAlign w:val="center"/>
          </w:tcPr>
          <w:p w14:paraId="66706435" w14:textId="13DF52EA" w:rsidR="00657468" w:rsidRPr="00DD3144" w:rsidRDefault="00657468" w:rsidP="00657468">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657468" w:rsidRPr="00DD3144" w:rsidRDefault="00657468" w:rsidP="00657468">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657468" w:rsidRPr="00DD3144" w:rsidRDefault="00657468" w:rsidP="00657468">
            <w:pPr>
              <w:keepNext/>
              <w:rPr>
                <w:rFonts w:ascii="Calibri" w:hAnsi="Calibri" w:cs="Calibri"/>
              </w:rPr>
            </w:pPr>
          </w:p>
        </w:tc>
        <w:tc>
          <w:tcPr>
            <w:tcW w:w="1503" w:type="dxa"/>
            <w:vAlign w:val="center"/>
          </w:tcPr>
          <w:p w14:paraId="37E1EB84" w14:textId="77777777" w:rsidR="00657468" w:rsidRPr="00DD3144" w:rsidRDefault="00657468" w:rsidP="00657468">
            <w:pPr>
              <w:keepNext/>
              <w:rPr>
                <w:rFonts w:ascii="Calibri" w:hAnsi="Calibri" w:cs="Calibri"/>
              </w:rPr>
            </w:pPr>
          </w:p>
        </w:tc>
        <w:tc>
          <w:tcPr>
            <w:tcW w:w="1503" w:type="dxa"/>
          </w:tcPr>
          <w:p w14:paraId="00C1337B" w14:textId="299E02FC"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25BB58DF" w14:textId="77777777" w:rsidTr="00550FED">
        <w:trPr>
          <w:trHeight w:val="21"/>
        </w:trPr>
        <w:tc>
          <w:tcPr>
            <w:tcW w:w="1066" w:type="dxa"/>
            <w:vAlign w:val="center"/>
          </w:tcPr>
          <w:p w14:paraId="58DAFD31" w14:textId="191EEAFC" w:rsidR="00657468" w:rsidRPr="00DD3144" w:rsidRDefault="00657468" w:rsidP="00657468">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657468" w:rsidRPr="00DD3144" w:rsidRDefault="00657468" w:rsidP="00657468">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657468" w:rsidRPr="00DD3144" w:rsidRDefault="00657468" w:rsidP="00657468">
            <w:pPr>
              <w:keepNext/>
              <w:rPr>
                <w:rFonts w:ascii="Calibri" w:hAnsi="Calibri" w:cs="Calibri"/>
              </w:rPr>
            </w:pPr>
          </w:p>
        </w:tc>
        <w:tc>
          <w:tcPr>
            <w:tcW w:w="1503" w:type="dxa"/>
            <w:vAlign w:val="center"/>
          </w:tcPr>
          <w:p w14:paraId="5A50D045" w14:textId="77777777" w:rsidR="00657468" w:rsidRPr="00DD3144" w:rsidRDefault="00657468" w:rsidP="00657468">
            <w:pPr>
              <w:keepNext/>
              <w:rPr>
                <w:rFonts w:ascii="Calibri" w:hAnsi="Calibri" w:cs="Calibri"/>
              </w:rPr>
            </w:pPr>
          </w:p>
        </w:tc>
        <w:tc>
          <w:tcPr>
            <w:tcW w:w="1503" w:type="dxa"/>
          </w:tcPr>
          <w:p w14:paraId="643022FE" w14:textId="2DE5501F"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71860055" w14:textId="77777777" w:rsidTr="00550FED">
        <w:trPr>
          <w:trHeight w:val="21"/>
        </w:trPr>
        <w:tc>
          <w:tcPr>
            <w:tcW w:w="1066" w:type="dxa"/>
            <w:vAlign w:val="center"/>
          </w:tcPr>
          <w:p w14:paraId="1F4D1A63" w14:textId="4DF2965F" w:rsidR="00657468" w:rsidRPr="00DD3144" w:rsidRDefault="00657468" w:rsidP="00657468">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657468" w:rsidRPr="00DD3144" w:rsidRDefault="00657468" w:rsidP="00657468">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657468" w:rsidRPr="00DD3144" w:rsidRDefault="00657468" w:rsidP="00657468">
            <w:pPr>
              <w:keepNext/>
              <w:rPr>
                <w:rFonts w:ascii="Calibri" w:hAnsi="Calibri" w:cs="Calibri"/>
              </w:rPr>
            </w:pPr>
          </w:p>
        </w:tc>
        <w:tc>
          <w:tcPr>
            <w:tcW w:w="1503" w:type="dxa"/>
            <w:vAlign w:val="center"/>
          </w:tcPr>
          <w:p w14:paraId="436F514C" w14:textId="77777777" w:rsidR="00657468" w:rsidRPr="00DD3144" w:rsidRDefault="00657468" w:rsidP="00657468">
            <w:pPr>
              <w:keepNext/>
              <w:rPr>
                <w:rFonts w:ascii="Calibri" w:hAnsi="Calibri" w:cs="Calibri"/>
              </w:rPr>
            </w:pPr>
          </w:p>
        </w:tc>
        <w:tc>
          <w:tcPr>
            <w:tcW w:w="1503" w:type="dxa"/>
          </w:tcPr>
          <w:p w14:paraId="6BFA045B" w14:textId="513F6F2E"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1D4273A0" w14:textId="77777777" w:rsidTr="00550FED">
        <w:trPr>
          <w:trHeight w:val="21"/>
        </w:trPr>
        <w:tc>
          <w:tcPr>
            <w:tcW w:w="1066" w:type="dxa"/>
            <w:vAlign w:val="center"/>
          </w:tcPr>
          <w:p w14:paraId="3CC79EA9" w14:textId="14DE5E9E" w:rsidR="00657468" w:rsidRPr="00DD3144" w:rsidRDefault="00657468" w:rsidP="00657468">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657468" w:rsidRPr="00DD3144" w:rsidRDefault="00657468" w:rsidP="00657468">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657468" w:rsidRPr="00DD3144" w:rsidRDefault="00657468" w:rsidP="00657468">
            <w:pPr>
              <w:keepNext/>
              <w:rPr>
                <w:rFonts w:ascii="Calibri" w:hAnsi="Calibri" w:cs="Calibri"/>
              </w:rPr>
            </w:pPr>
          </w:p>
        </w:tc>
        <w:tc>
          <w:tcPr>
            <w:tcW w:w="1503" w:type="dxa"/>
            <w:vAlign w:val="center"/>
          </w:tcPr>
          <w:p w14:paraId="50388F17" w14:textId="77777777" w:rsidR="00657468" w:rsidRPr="00DD3144" w:rsidRDefault="00657468" w:rsidP="00657468">
            <w:pPr>
              <w:keepNext/>
              <w:rPr>
                <w:rFonts w:ascii="Calibri" w:hAnsi="Calibri" w:cs="Calibri"/>
              </w:rPr>
            </w:pPr>
          </w:p>
        </w:tc>
        <w:tc>
          <w:tcPr>
            <w:tcW w:w="1503" w:type="dxa"/>
          </w:tcPr>
          <w:p w14:paraId="511E94E2" w14:textId="09992137"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5EDA28CC" w14:textId="77777777" w:rsidTr="00550FED">
        <w:trPr>
          <w:trHeight w:val="21"/>
        </w:trPr>
        <w:tc>
          <w:tcPr>
            <w:tcW w:w="1066" w:type="dxa"/>
            <w:vAlign w:val="center"/>
          </w:tcPr>
          <w:p w14:paraId="195A8C95" w14:textId="2E1EA294" w:rsidR="00657468" w:rsidRPr="00DD3144" w:rsidRDefault="00657468" w:rsidP="00657468">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657468" w:rsidRPr="00DD3144" w:rsidRDefault="00657468" w:rsidP="00657468">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657468" w:rsidRPr="00DD3144" w:rsidRDefault="00657468" w:rsidP="00657468">
            <w:pPr>
              <w:keepNext/>
              <w:rPr>
                <w:rFonts w:ascii="Calibri" w:hAnsi="Calibri" w:cs="Calibri"/>
              </w:rPr>
            </w:pPr>
          </w:p>
        </w:tc>
        <w:tc>
          <w:tcPr>
            <w:tcW w:w="1503" w:type="dxa"/>
            <w:vAlign w:val="center"/>
          </w:tcPr>
          <w:p w14:paraId="2B1421D3" w14:textId="77777777" w:rsidR="00657468" w:rsidRPr="00DD3144" w:rsidRDefault="00657468" w:rsidP="00657468">
            <w:pPr>
              <w:keepNext/>
              <w:rPr>
                <w:rFonts w:ascii="Calibri" w:hAnsi="Calibri" w:cs="Calibri"/>
              </w:rPr>
            </w:pPr>
          </w:p>
        </w:tc>
        <w:tc>
          <w:tcPr>
            <w:tcW w:w="1503" w:type="dxa"/>
          </w:tcPr>
          <w:p w14:paraId="41CFE03C" w14:textId="529BE4DD"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1E3AA1B7" w14:textId="77777777" w:rsidTr="00550FED">
        <w:trPr>
          <w:trHeight w:val="21"/>
        </w:trPr>
        <w:tc>
          <w:tcPr>
            <w:tcW w:w="1066" w:type="dxa"/>
            <w:vAlign w:val="center"/>
          </w:tcPr>
          <w:p w14:paraId="725C137E" w14:textId="6A1C8B2A" w:rsidR="00657468" w:rsidRPr="00DD3144" w:rsidRDefault="00657468" w:rsidP="00657468">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657468" w:rsidRPr="00DD3144" w:rsidRDefault="00657468" w:rsidP="00657468">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657468" w:rsidRPr="00DD3144" w:rsidRDefault="00657468" w:rsidP="00657468">
            <w:pPr>
              <w:keepNext/>
              <w:rPr>
                <w:rFonts w:ascii="Calibri" w:hAnsi="Calibri" w:cs="Calibri"/>
              </w:rPr>
            </w:pPr>
          </w:p>
        </w:tc>
        <w:tc>
          <w:tcPr>
            <w:tcW w:w="1503" w:type="dxa"/>
            <w:vAlign w:val="center"/>
          </w:tcPr>
          <w:p w14:paraId="6A95D2AD" w14:textId="77777777" w:rsidR="00657468" w:rsidRPr="00DD3144" w:rsidRDefault="00657468" w:rsidP="00657468">
            <w:pPr>
              <w:keepNext/>
              <w:rPr>
                <w:rFonts w:ascii="Calibri" w:hAnsi="Calibri" w:cs="Calibri"/>
              </w:rPr>
            </w:pPr>
          </w:p>
        </w:tc>
        <w:tc>
          <w:tcPr>
            <w:tcW w:w="1503" w:type="dxa"/>
          </w:tcPr>
          <w:p w14:paraId="5164AC81" w14:textId="41A7E0BB"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594598C8" w14:textId="77777777" w:rsidTr="00550FED">
        <w:trPr>
          <w:trHeight w:val="21"/>
        </w:trPr>
        <w:tc>
          <w:tcPr>
            <w:tcW w:w="1066" w:type="dxa"/>
            <w:vAlign w:val="center"/>
          </w:tcPr>
          <w:p w14:paraId="4A5A9C95" w14:textId="182CDDD2" w:rsidR="00657468" w:rsidRPr="00DD3144" w:rsidRDefault="00657468" w:rsidP="00657468">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657468" w:rsidRPr="00DD3144" w:rsidRDefault="00657468" w:rsidP="00657468">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657468" w:rsidRPr="00DD3144" w:rsidRDefault="00657468" w:rsidP="00657468">
            <w:pPr>
              <w:keepNext/>
              <w:rPr>
                <w:rFonts w:ascii="Calibri" w:hAnsi="Calibri" w:cs="Calibri"/>
              </w:rPr>
            </w:pPr>
          </w:p>
        </w:tc>
        <w:tc>
          <w:tcPr>
            <w:tcW w:w="1503" w:type="dxa"/>
            <w:vAlign w:val="center"/>
          </w:tcPr>
          <w:p w14:paraId="23AB5197" w14:textId="77777777" w:rsidR="00657468" w:rsidRPr="00DD3144" w:rsidRDefault="00657468" w:rsidP="00657468">
            <w:pPr>
              <w:keepNext/>
              <w:rPr>
                <w:rFonts w:ascii="Calibri" w:hAnsi="Calibri" w:cs="Calibri"/>
              </w:rPr>
            </w:pPr>
          </w:p>
        </w:tc>
        <w:tc>
          <w:tcPr>
            <w:tcW w:w="1503" w:type="dxa"/>
          </w:tcPr>
          <w:p w14:paraId="1135D553" w14:textId="606535BB"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3809E14A" w14:textId="77777777" w:rsidTr="00550FED">
        <w:trPr>
          <w:trHeight w:val="21"/>
        </w:trPr>
        <w:tc>
          <w:tcPr>
            <w:tcW w:w="1066" w:type="dxa"/>
            <w:vAlign w:val="center"/>
          </w:tcPr>
          <w:p w14:paraId="5E03235F" w14:textId="71646663" w:rsidR="00657468" w:rsidRPr="00DD3144" w:rsidRDefault="00657468" w:rsidP="00657468">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657468" w:rsidRPr="00DD3144" w:rsidRDefault="00657468" w:rsidP="00657468">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657468" w:rsidRPr="00DD3144" w:rsidRDefault="00657468" w:rsidP="00657468">
            <w:pPr>
              <w:keepNext/>
              <w:rPr>
                <w:rFonts w:ascii="Calibri" w:hAnsi="Calibri" w:cs="Calibri"/>
              </w:rPr>
            </w:pPr>
          </w:p>
        </w:tc>
        <w:tc>
          <w:tcPr>
            <w:tcW w:w="1503" w:type="dxa"/>
            <w:vAlign w:val="center"/>
          </w:tcPr>
          <w:p w14:paraId="18B7F8D2" w14:textId="77777777" w:rsidR="00657468" w:rsidRPr="00DD3144" w:rsidRDefault="00657468" w:rsidP="00657468">
            <w:pPr>
              <w:keepNext/>
              <w:rPr>
                <w:rFonts w:ascii="Calibri" w:hAnsi="Calibri" w:cs="Calibri"/>
              </w:rPr>
            </w:pPr>
          </w:p>
        </w:tc>
        <w:tc>
          <w:tcPr>
            <w:tcW w:w="1503" w:type="dxa"/>
          </w:tcPr>
          <w:p w14:paraId="3970D0E0" w14:textId="25CB31EF"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473292FC" w14:textId="77777777" w:rsidTr="00550FED">
        <w:trPr>
          <w:trHeight w:val="21"/>
        </w:trPr>
        <w:tc>
          <w:tcPr>
            <w:tcW w:w="1066" w:type="dxa"/>
            <w:vAlign w:val="center"/>
          </w:tcPr>
          <w:p w14:paraId="53DD17BE" w14:textId="3B9A0219" w:rsidR="00657468" w:rsidRPr="00DD3144" w:rsidRDefault="00657468" w:rsidP="00657468">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657468" w:rsidRPr="00DD3144" w:rsidRDefault="00657468" w:rsidP="00657468">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657468" w:rsidRPr="00DD3144" w:rsidRDefault="00657468" w:rsidP="00657468">
            <w:pPr>
              <w:keepNext/>
              <w:rPr>
                <w:rFonts w:ascii="Calibri" w:hAnsi="Calibri" w:cs="Calibri"/>
              </w:rPr>
            </w:pPr>
          </w:p>
        </w:tc>
        <w:tc>
          <w:tcPr>
            <w:tcW w:w="1503" w:type="dxa"/>
            <w:vAlign w:val="center"/>
          </w:tcPr>
          <w:p w14:paraId="230AA808" w14:textId="77777777" w:rsidR="00657468" w:rsidRPr="00DD3144" w:rsidRDefault="00657468" w:rsidP="00657468">
            <w:pPr>
              <w:keepNext/>
              <w:rPr>
                <w:rFonts w:ascii="Calibri" w:hAnsi="Calibri" w:cs="Calibri"/>
              </w:rPr>
            </w:pPr>
          </w:p>
        </w:tc>
        <w:tc>
          <w:tcPr>
            <w:tcW w:w="1503" w:type="dxa"/>
          </w:tcPr>
          <w:p w14:paraId="3C133059" w14:textId="7F475FFB"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07CC5108" w14:textId="77777777" w:rsidTr="00550FED">
        <w:trPr>
          <w:trHeight w:val="21"/>
        </w:trPr>
        <w:tc>
          <w:tcPr>
            <w:tcW w:w="1066" w:type="dxa"/>
            <w:vAlign w:val="center"/>
          </w:tcPr>
          <w:p w14:paraId="2D96051D" w14:textId="2B9A8336" w:rsidR="00657468" w:rsidRPr="00DD3144" w:rsidRDefault="00657468" w:rsidP="00657468">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657468" w:rsidRPr="00DD3144" w:rsidRDefault="00657468" w:rsidP="00657468">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657468" w:rsidRPr="00DD3144" w:rsidRDefault="00657468" w:rsidP="00657468">
            <w:pPr>
              <w:keepNext/>
              <w:rPr>
                <w:rFonts w:ascii="Calibri" w:hAnsi="Calibri" w:cs="Calibri"/>
              </w:rPr>
            </w:pPr>
          </w:p>
        </w:tc>
        <w:tc>
          <w:tcPr>
            <w:tcW w:w="1503" w:type="dxa"/>
            <w:vAlign w:val="center"/>
          </w:tcPr>
          <w:p w14:paraId="0ECDAE1F" w14:textId="77777777" w:rsidR="00657468" w:rsidRPr="00DD3144" w:rsidRDefault="00657468" w:rsidP="00657468">
            <w:pPr>
              <w:keepNext/>
              <w:rPr>
                <w:rFonts w:ascii="Calibri" w:hAnsi="Calibri" w:cs="Calibri"/>
              </w:rPr>
            </w:pPr>
          </w:p>
        </w:tc>
        <w:tc>
          <w:tcPr>
            <w:tcW w:w="1503" w:type="dxa"/>
          </w:tcPr>
          <w:p w14:paraId="4CF5ABCA" w14:textId="703A2F4B"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41FB20E6" w14:textId="77777777" w:rsidTr="00550FED">
        <w:trPr>
          <w:trHeight w:val="21"/>
        </w:trPr>
        <w:tc>
          <w:tcPr>
            <w:tcW w:w="1066" w:type="dxa"/>
            <w:vAlign w:val="center"/>
          </w:tcPr>
          <w:p w14:paraId="514868D7" w14:textId="1D9B58AB" w:rsidR="00657468" w:rsidRPr="00DD3144" w:rsidRDefault="00657468" w:rsidP="00657468">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657468" w:rsidRPr="00DD3144" w:rsidRDefault="00657468" w:rsidP="00657468">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657468" w:rsidRPr="00DD3144" w:rsidRDefault="00657468" w:rsidP="00657468">
            <w:pPr>
              <w:keepNext/>
              <w:rPr>
                <w:rFonts w:ascii="Calibri" w:hAnsi="Calibri" w:cs="Calibri"/>
              </w:rPr>
            </w:pPr>
          </w:p>
        </w:tc>
        <w:tc>
          <w:tcPr>
            <w:tcW w:w="1503" w:type="dxa"/>
            <w:vAlign w:val="center"/>
          </w:tcPr>
          <w:p w14:paraId="77C75A90" w14:textId="77777777" w:rsidR="00657468" w:rsidRPr="00DD3144" w:rsidRDefault="00657468" w:rsidP="00657468">
            <w:pPr>
              <w:keepNext/>
              <w:rPr>
                <w:rFonts w:ascii="Calibri" w:hAnsi="Calibri" w:cs="Calibri"/>
              </w:rPr>
            </w:pPr>
          </w:p>
        </w:tc>
        <w:tc>
          <w:tcPr>
            <w:tcW w:w="1503" w:type="dxa"/>
          </w:tcPr>
          <w:p w14:paraId="751F0476" w14:textId="03354E0E"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26F5557C" w14:textId="77777777" w:rsidTr="00550FED">
        <w:trPr>
          <w:trHeight w:val="21"/>
        </w:trPr>
        <w:tc>
          <w:tcPr>
            <w:tcW w:w="1066" w:type="dxa"/>
            <w:vAlign w:val="center"/>
          </w:tcPr>
          <w:p w14:paraId="4CD25790" w14:textId="17D8D33B" w:rsidR="00657468" w:rsidRPr="00DD3144" w:rsidRDefault="00657468" w:rsidP="00657468">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657468" w:rsidRPr="00DD3144" w:rsidRDefault="00657468" w:rsidP="00657468">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657468" w:rsidRPr="00DD3144" w:rsidRDefault="00657468" w:rsidP="00657468">
            <w:pPr>
              <w:keepNext/>
              <w:rPr>
                <w:rFonts w:ascii="Calibri" w:hAnsi="Calibri" w:cs="Calibri"/>
              </w:rPr>
            </w:pPr>
          </w:p>
        </w:tc>
        <w:tc>
          <w:tcPr>
            <w:tcW w:w="1503" w:type="dxa"/>
            <w:vAlign w:val="center"/>
          </w:tcPr>
          <w:p w14:paraId="283A24A1" w14:textId="77777777" w:rsidR="00657468" w:rsidRPr="00DD3144" w:rsidRDefault="00657468" w:rsidP="00657468">
            <w:pPr>
              <w:keepNext/>
              <w:rPr>
                <w:rFonts w:ascii="Calibri" w:hAnsi="Calibri" w:cs="Calibri"/>
              </w:rPr>
            </w:pPr>
          </w:p>
        </w:tc>
        <w:tc>
          <w:tcPr>
            <w:tcW w:w="1503" w:type="dxa"/>
          </w:tcPr>
          <w:p w14:paraId="52CD3EF6" w14:textId="2F0021AA" w:rsidR="00657468" w:rsidRPr="00DD3144" w:rsidRDefault="00657468" w:rsidP="00657468">
            <w:pPr>
              <w:keepNext/>
              <w:rPr>
                <w:rFonts w:ascii="Calibri" w:hAnsi="Calibri" w:cs="Calibri"/>
              </w:rPr>
            </w:pPr>
            <w:r w:rsidRPr="003C6E57">
              <w:rPr>
                <w:rFonts w:ascii="Calibri" w:hAnsi="Calibri" w:cs="Calibri"/>
              </w:rPr>
              <w:t>X</w:t>
            </w:r>
          </w:p>
        </w:tc>
      </w:tr>
      <w:tr w:rsidR="00657468" w:rsidRPr="00DD3144" w14:paraId="76F4E245" w14:textId="77777777" w:rsidTr="00550FED">
        <w:trPr>
          <w:trHeight w:val="21"/>
        </w:trPr>
        <w:tc>
          <w:tcPr>
            <w:tcW w:w="1066" w:type="dxa"/>
            <w:vAlign w:val="center"/>
          </w:tcPr>
          <w:p w14:paraId="214A16F1" w14:textId="3127022B" w:rsidR="00657468" w:rsidRPr="00DD3144" w:rsidRDefault="00657468" w:rsidP="00657468">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657468" w:rsidRPr="00DD3144" w:rsidRDefault="00657468" w:rsidP="00657468">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657468" w:rsidRPr="00DD3144" w:rsidRDefault="00657468" w:rsidP="00657468">
            <w:pPr>
              <w:keepNext/>
              <w:rPr>
                <w:rFonts w:ascii="Calibri" w:hAnsi="Calibri" w:cs="Calibri"/>
              </w:rPr>
            </w:pPr>
          </w:p>
        </w:tc>
        <w:tc>
          <w:tcPr>
            <w:tcW w:w="1503" w:type="dxa"/>
            <w:vAlign w:val="center"/>
          </w:tcPr>
          <w:p w14:paraId="6F9CACFB" w14:textId="77777777" w:rsidR="00657468" w:rsidRPr="00DD3144" w:rsidRDefault="00657468" w:rsidP="00657468">
            <w:pPr>
              <w:keepNext/>
              <w:rPr>
                <w:rFonts w:ascii="Calibri" w:hAnsi="Calibri" w:cs="Calibri"/>
              </w:rPr>
            </w:pPr>
          </w:p>
        </w:tc>
        <w:tc>
          <w:tcPr>
            <w:tcW w:w="1503" w:type="dxa"/>
          </w:tcPr>
          <w:p w14:paraId="1CB56BCA" w14:textId="3318418A" w:rsidR="00657468" w:rsidRPr="00DD3144" w:rsidRDefault="00657468" w:rsidP="00657468">
            <w:pPr>
              <w:keepNext/>
              <w:rPr>
                <w:rFonts w:ascii="Calibri" w:hAnsi="Calibri" w:cs="Calibri"/>
              </w:rPr>
            </w:pPr>
            <w:r w:rsidRPr="003C6E57">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14B2916D" w14:textId="203067B3" w:rsidR="004B1F6B" w:rsidRDefault="00CB4F63" w:rsidP="00CB4F63">
            <w:pPr>
              <w:rPr>
                <w:rFonts w:ascii="Calibri" w:hAnsi="Calibri" w:cs="Calibri"/>
              </w:rPr>
            </w:pPr>
            <w:r w:rsidRPr="00CB4F63">
              <w:rPr>
                <w:rFonts w:ascii="Calibri" w:hAnsi="Calibri" w:cs="Calibri"/>
              </w:rPr>
              <w:t xml:space="preserve">In drafting and developing this Code, the </w:t>
            </w:r>
            <w:proofErr w:type="spellStart"/>
            <w:r w:rsidRPr="00CB4F63">
              <w:rPr>
                <w:rFonts w:ascii="Calibri" w:hAnsi="Calibri" w:cs="Calibri"/>
              </w:rPr>
              <w:t>EIoD</w:t>
            </w:r>
            <w:proofErr w:type="spellEnd"/>
            <w:r w:rsidRPr="00CB4F63">
              <w:rPr>
                <w:rFonts w:ascii="Calibri" w:hAnsi="Calibri" w:cs="Calibri"/>
              </w:rPr>
              <w:t xml:space="preserve"> has relied on many references, salient of which is the Organization of Economic Cooperation and Development (OECD) Principles of Corporate Governance issued in 1999, and their amendments in 2004 and in 2015</w:t>
            </w:r>
            <w:r>
              <w:rPr>
                <w:rFonts w:ascii="Calibri" w:hAnsi="Calibri" w:cs="Calibri"/>
              </w:rPr>
              <w:t xml:space="preserve">. Accessed here: </w:t>
            </w:r>
            <w:hyperlink r:id="rId19" w:history="1">
              <w:r w:rsidRPr="00A74240">
                <w:rPr>
                  <w:rStyle w:val="Hyperlink"/>
                  <w:rFonts w:ascii="Calibri" w:hAnsi="Calibri" w:cs="Calibri"/>
                </w:rPr>
                <w:t>https://web.archive.org/web/20250701033557/https://one.oecd.org/document/C/MIN%2899%296/en/pdf</w:t>
              </w:r>
            </w:hyperlink>
            <w:r>
              <w:rPr>
                <w:rFonts w:ascii="Calibri" w:hAnsi="Calibri" w:cs="Calibri"/>
              </w:rPr>
              <w:t xml:space="preserve"> </w:t>
            </w:r>
          </w:p>
          <w:p w14:paraId="09CAF637" w14:textId="6F2A1ED7" w:rsidR="00CB4F63" w:rsidRDefault="00CB4F63" w:rsidP="00CB4F63">
            <w:pPr>
              <w:rPr>
                <w:rFonts w:ascii="Calibri" w:hAnsi="Calibri" w:cs="Calibri"/>
              </w:rPr>
            </w:pPr>
            <w:r>
              <w:rPr>
                <w:rFonts w:ascii="Calibri" w:hAnsi="Calibri" w:cs="Calibri"/>
              </w:rPr>
              <w:t>Reference was also made to:</w:t>
            </w:r>
          </w:p>
          <w:p w14:paraId="730D8E71" w14:textId="75D0A34A" w:rsidR="00CB4F63" w:rsidRDefault="00CB4F63" w:rsidP="00CB4F63">
            <w:pPr>
              <w:rPr>
                <w:rFonts w:ascii="Calibri" w:hAnsi="Calibri" w:cs="Calibri"/>
              </w:rPr>
            </w:pPr>
            <w:r w:rsidRPr="00CB4F63">
              <w:rPr>
                <w:rFonts w:ascii="Calibri" w:hAnsi="Calibri" w:cs="Calibri"/>
              </w:rPr>
              <w:sym w:font="Symbol" w:char="F0B7"/>
            </w:r>
            <w:r w:rsidRPr="00CB4F63">
              <w:rPr>
                <w:rFonts w:ascii="Calibri" w:hAnsi="Calibri" w:cs="Calibri"/>
              </w:rPr>
              <w:t xml:space="preserve"> Cadbury’s Report issued in the United Kingdom in 1999</w:t>
            </w:r>
            <w:r>
              <w:rPr>
                <w:rFonts w:ascii="Calibri" w:hAnsi="Calibri" w:cs="Calibri"/>
              </w:rPr>
              <w:t xml:space="preserve"> (</w:t>
            </w:r>
            <w:hyperlink r:id="rId20" w:history="1">
              <w:r w:rsidRPr="00A74240">
                <w:rPr>
                  <w:rStyle w:val="Hyperlink"/>
                  <w:rFonts w:ascii="Calibri" w:hAnsi="Calibri" w:cs="Calibri"/>
                </w:rPr>
                <w:t>https://web.archive.org/web/20250701033755/https://www.jbs.cam.ac.uk/wp-content/uploads/2024/10/cadbury-report.pdf</w:t>
              </w:r>
            </w:hyperlink>
            <w:r>
              <w:rPr>
                <w:rFonts w:ascii="Calibri" w:hAnsi="Calibri" w:cs="Calibri"/>
              </w:rPr>
              <w:t>)</w:t>
            </w:r>
            <w:r w:rsidRPr="00CB4F63">
              <w:rPr>
                <w:rFonts w:ascii="Calibri" w:hAnsi="Calibri" w:cs="Calibri"/>
              </w:rPr>
              <w:t>;</w:t>
            </w:r>
            <w:r>
              <w:rPr>
                <w:rFonts w:ascii="Calibri" w:hAnsi="Calibri" w:cs="Calibri"/>
              </w:rPr>
              <w:t xml:space="preserve"> </w:t>
            </w:r>
          </w:p>
          <w:p w14:paraId="30E4F52F" w14:textId="77777777" w:rsidR="00CB4F63" w:rsidRDefault="00CB4F63" w:rsidP="00CB4F63">
            <w:pPr>
              <w:rPr>
                <w:rFonts w:ascii="Calibri" w:hAnsi="Calibri" w:cs="Calibri"/>
              </w:rPr>
            </w:pPr>
            <w:r w:rsidRPr="00CB4F63">
              <w:rPr>
                <w:rFonts w:ascii="Calibri" w:hAnsi="Calibri" w:cs="Calibri"/>
              </w:rPr>
              <w:sym w:font="Symbol" w:char="F0B7"/>
            </w:r>
            <w:r w:rsidRPr="00CB4F63">
              <w:rPr>
                <w:rFonts w:ascii="Calibri" w:hAnsi="Calibri" w:cs="Calibri"/>
              </w:rPr>
              <w:t xml:space="preserve"> Corporate Governance Methodology developed by IFC, at the World Bank </w:t>
            </w:r>
            <w:proofErr w:type="gramStart"/>
            <w:r w:rsidRPr="00CB4F63">
              <w:rPr>
                <w:rFonts w:ascii="Calibri" w:hAnsi="Calibri" w:cs="Calibri"/>
              </w:rPr>
              <w:t>Group;</w:t>
            </w:r>
            <w:proofErr w:type="gramEnd"/>
            <w:r w:rsidRPr="00CB4F63">
              <w:rPr>
                <w:rFonts w:ascii="Calibri" w:hAnsi="Calibri" w:cs="Calibri"/>
              </w:rPr>
              <w:t xml:space="preserve"> </w:t>
            </w:r>
          </w:p>
          <w:p w14:paraId="1CEFB34B" w14:textId="3FE22CF2" w:rsidR="00CB4F63" w:rsidRDefault="00CB4F63" w:rsidP="00CB4F63">
            <w:pPr>
              <w:rPr>
                <w:rFonts w:ascii="Calibri" w:hAnsi="Calibri" w:cs="Calibri"/>
              </w:rPr>
            </w:pPr>
            <w:r w:rsidRPr="00CB4F63">
              <w:rPr>
                <w:rFonts w:ascii="Calibri" w:hAnsi="Calibri" w:cs="Calibri"/>
              </w:rPr>
              <w:sym w:font="Symbol" w:char="F0B7"/>
            </w:r>
            <w:r w:rsidRPr="00CB4F63">
              <w:rPr>
                <w:rFonts w:ascii="Calibri" w:hAnsi="Calibri" w:cs="Calibri"/>
              </w:rPr>
              <w:t xml:space="preserve"> Corporate Governance Regulations for Banks, issued by the Central Bank of Egypt in 2011</w:t>
            </w:r>
            <w:r>
              <w:rPr>
                <w:rFonts w:ascii="Calibri" w:hAnsi="Calibri" w:cs="Calibri"/>
              </w:rPr>
              <w:t xml:space="preserve"> 9</w:t>
            </w:r>
            <w:r>
              <w:t xml:space="preserve"> </w:t>
            </w:r>
            <w:hyperlink r:id="rId21" w:history="1">
              <w:r w:rsidRPr="00A74240">
                <w:rPr>
                  <w:rStyle w:val="Hyperlink"/>
                  <w:rFonts w:ascii="Calibri" w:hAnsi="Calibri" w:cs="Calibri"/>
                </w:rPr>
                <w:t>https://web.archive.org/web/20250701034124/https://www.ecgi.global/sites/default/files/codes/documents/code_egypt_2011_englishtranslation2016.pdf</w:t>
              </w:r>
            </w:hyperlink>
            <w:r>
              <w:rPr>
                <w:rFonts w:ascii="Calibri" w:hAnsi="Calibri" w:cs="Calibri"/>
              </w:rPr>
              <w:t>)</w:t>
            </w:r>
            <w:r w:rsidRPr="00CB4F63">
              <w:rPr>
                <w:rFonts w:ascii="Calibri" w:hAnsi="Calibri" w:cs="Calibri"/>
              </w:rPr>
              <w:t>;</w:t>
            </w:r>
            <w:r>
              <w:rPr>
                <w:rFonts w:ascii="Calibri" w:hAnsi="Calibri" w:cs="Calibri"/>
              </w:rPr>
              <w:t xml:space="preserve"> </w:t>
            </w:r>
            <w:r w:rsidRPr="00CB4F63">
              <w:rPr>
                <w:rFonts w:ascii="Calibri" w:hAnsi="Calibri" w:cs="Calibri"/>
              </w:rPr>
              <w:t xml:space="preserve"> </w:t>
            </w:r>
          </w:p>
          <w:p w14:paraId="799C1AA4" w14:textId="09769D7C" w:rsidR="00CB4F63" w:rsidRPr="00DD3144" w:rsidRDefault="00CB4F63" w:rsidP="00CB4F63">
            <w:pPr>
              <w:rPr>
                <w:rFonts w:ascii="Calibri" w:hAnsi="Calibri" w:cs="Calibri"/>
              </w:rPr>
            </w:pPr>
            <w:r w:rsidRPr="00CB4F63">
              <w:rPr>
                <w:rFonts w:ascii="Calibri" w:hAnsi="Calibri" w:cs="Calibri"/>
              </w:rPr>
              <w:sym w:font="Symbol" w:char="F0B7"/>
            </w:r>
            <w:r w:rsidRPr="00CB4F63">
              <w:rPr>
                <w:rFonts w:ascii="Calibri" w:hAnsi="Calibri" w:cs="Calibri"/>
              </w:rPr>
              <w:t xml:space="preserve"> The Principles drafted by the International Organization of Securities Commissions (IOSCO)</w:t>
            </w:r>
            <w:r w:rsidR="00A63268">
              <w:rPr>
                <w:rFonts w:ascii="Calibri" w:hAnsi="Calibri" w:cs="Calibri"/>
              </w:rPr>
              <w:t xml:space="preserve"> (</w:t>
            </w:r>
            <w:hyperlink r:id="rId22" w:history="1">
              <w:r w:rsidR="00A63268" w:rsidRPr="00A74240">
                <w:rPr>
                  <w:rStyle w:val="Hyperlink"/>
                  <w:rFonts w:ascii="Calibri" w:hAnsi="Calibri" w:cs="Calibri"/>
                </w:rPr>
                <w:t>https://web.archive.org/web/20250701034248/https://www.iosco.org/library/pubdocs/pdf/IOSCOPD544.pdf</w:t>
              </w:r>
            </w:hyperlink>
            <w:r w:rsidR="00A63268">
              <w:rPr>
                <w:rFonts w:ascii="Calibri" w:hAnsi="Calibri" w:cs="Calibri"/>
              </w:rPr>
              <w:t>)</w:t>
            </w:r>
            <w:r w:rsidRPr="00CB4F63">
              <w:rPr>
                <w:rFonts w:ascii="Calibri" w:hAnsi="Calibri" w:cs="Calibri"/>
              </w:rPr>
              <w:t>;</w:t>
            </w:r>
            <w:r w:rsidR="00A63268">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B60D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B60D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B60D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B60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B60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A238C2" w14:textId="77777777" w:rsidR="00730690" w:rsidRDefault="00730690" w:rsidP="00874E39">
      <w:r>
        <w:separator/>
      </w:r>
    </w:p>
  </w:endnote>
  <w:endnote w:type="continuationSeparator" w:id="0">
    <w:p w14:paraId="356BF5A9" w14:textId="77777777" w:rsidR="00730690" w:rsidRDefault="00730690" w:rsidP="00874E39">
      <w:r>
        <w:continuationSeparator/>
      </w:r>
    </w:p>
  </w:endnote>
  <w:endnote w:type="continuationNotice" w:id="1">
    <w:p w14:paraId="10DF6126" w14:textId="77777777" w:rsidR="00730690" w:rsidRDefault="007306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AD0AE4" w14:textId="77777777" w:rsidR="00730690" w:rsidRDefault="00730690" w:rsidP="00874E39">
      <w:r>
        <w:separator/>
      </w:r>
    </w:p>
  </w:footnote>
  <w:footnote w:type="continuationSeparator" w:id="0">
    <w:p w14:paraId="39D768D5" w14:textId="77777777" w:rsidR="00730690" w:rsidRDefault="00730690" w:rsidP="00874E39">
      <w:r>
        <w:continuationSeparator/>
      </w:r>
    </w:p>
  </w:footnote>
  <w:footnote w:type="continuationNotice" w:id="1">
    <w:p w14:paraId="25AE1AFD" w14:textId="77777777" w:rsidR="00730690" w:rsidRDefault="0073069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2CE23A3"/>
    <w:multiLevelType w:val="hybridMultilevel"/>
    <w:tmpl w:val="B27E0716"/>
    <w:lvl w:ilvl="0" w:tplc="4C09000F">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149327741">
    <w:abstractNumId w:val="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21E"/>
    <w:rsid w:val="00145138"/>
    <w:rsid w:val="001457F8"/>
    <w:rsid w:val="00146B77"/>
    <w:rsid w:val="001470A9"/>
    <w:rsid w:val="00150B6F"/>
    <w:rsid w:val="00150BA9"/>
    <w:rsid w:val="00152231"/>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AEB"/>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60D"/>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0D0"/>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0F4"/>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468"/>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690"/>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2BA6"/>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63268"/>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4F63"/>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EF4"/>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1031420/https://www.egx.com.eg/downloads/Bulletins/303877_2.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701034124/https://www.ecgi.global/sites/default/files/codes/documents/code_egypt_2011_englishtranslation2016.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3184537/https://eiod.org/wp-content/uploads/2023/05/The-Egyptian-CG-Code-Third-Release.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1033755/https://www.jbs.cam.ac.uk/wp-content/uploads/2024/10/cadbury-report.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01033557/https://one.oecd.org/document/C/MIN%2899%296/e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1034248/https://www.iosco.org/library/pubdocs/pdf/IOSCOPD544.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112</Pages>
  <Words>22438</Words>
  <Characters>127901</Characters>
  <Application>Microsoft Office Word</Application>
  <DocSecurity>4</DocSecurity>
  <Lines>1065</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Hena S</cp:lastModifiedBy>
  <cp:revision>2</cp:revision>
  <cp:lastPrinted>2025-03-21T00:14:00Z</cp:lastPrinted>
  <dcterms:created xsi:type="dcterms:W3CDTF">2025-07-01T03:45:00Z</dcterms:created>
  <dcterms:modified xsi:type="dcterms:W3CDTF">2025-07-01T03:45:00Z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